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0" w:hanging="160"/>
        <w:rPr>
          <w:rFonts w:ascii="仿宋_GB2312" w:eastAsia="仿宋_GB2312" w:cs="ArialUnicodeMS"/>
          <w:kern w:val="0"/>
          <w:sz w:val="32"/>
          <w:szCs w:val="32"/>
        </w:rPr>
      </w:pPr>
      <w:bookmarkStart w:id="0" w:name="_GoBack"/>
    </w:p>
    <w:p>
      <w:pPr>
        <w:ind w:left="360" w:hanging="360"/>
        <w:rPr>
          <w:rFonts w:ascii="黑体" w:eastAsia="黑体" w:cs="ArialUnicodeMS"/>
          <w:kern w:val="0"/>
          <w:sz w:val="72"/>
          <w:szCs w:val="72"/>
        </w:rPr>
      </w:pPr>
    </w:p>
    <w:p>
      <w:pPr>
        <w:ind w:left="360" w:hanging="360"/>
        <w:rPr>
          <w:rFonts w:ascii="黑体" w:eastAsia="黑体" w:cs="ArialUnicodeMS"/>
          <w:kern w:val="0"/>
          <w:sz w:val="72"/>
          <w:szCs w:val="72"/>
        </w:rPr>
      </w:pPr>
    </w:p>
    <w:p>
      <w:pPr>
        <w:ind w:left="260" w:hanging="260"/>
        <w:jc w:val="center"/>
        <w:rPr>
          <w:rFonts w:ascii="黑体" w:eastAsia="黑体" w:cs="ArialUnicodeMS"/>
          <w:kern w:val="0"/>
          <w:sz w:val="52"/>
          <w:szCs w:val="5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财政局</w:t>
      </w:r>
    </w:p>
    <w:p>
      <w:pPr>
        <w:jc w:val="center"/>
        <w:rPr>
          <w:rFonts w:ascii="黑体" w:eastAsia="黑体" w:cs="ArialUnicodeMS"/>
          <w:kern w:val="0"/>
          <w:sz w:val="52"/>
          <w:szCs w:val="52"/>
        </w:rPr>
      </w:pPr>
      <w:r>
        <w:rPr>
          <w:rFonts w:hint="eastAsia" w:ascii="黑体" w:eastAsia="黑体"/>
          <w:kern w:val="0"/>
          <w:sz w:val="52"/>
          <w:szCs w:val="52"/>
        </w:rPr>
        <w:t>2018</w:t>
      </w:r>
      <w:r>
        <w:rPr>
          <w:rFonts w:hint="eastAsia" w:ascii="黑体" w:eastAsia="黑体" w:cs="ArialUnicodeMS"/>
          <w:kern w:val="0"/>
          <w:sz w:val="52"/>
          <w:szCs w:val="52"/>
        </w:rPr>
        <w:t>年度部门决算</w:t>
      </w:r>
    </w:p>
    <w:p>
      <w:pPr>
        <w:pStyle w:val="5"/>
      </w:pPr>
    </w:p>
    <w:p>
      <w:pPr>
        <w:pStyle w:val="5"/>
        <w:rPr>
          <w:rFonts w:ascii="ArialUnicodeMS" w:eastAsia="ArialUnicodeMS" w:cs="ArialUnicodeMS"/>
          <w:kern w:val="0"/>
          <w:sz w:val="84"/>
          <w:szCs w:val="84"/>
        </w:rPr>
      </w:pPr>
    </w:p>
    <w:p>
      <w:pPr>
        <w:pStyle w:val="5"/>
        <w:rPr>
          <w:rFonts w:ascii="ArialUnicodeMS" w:eastAsia="ArialUnicodeMS" w:cs="ArialUnicodeMS"/>
          <w:kern w:val="0"/>
          <w:sz w:val="84"/>
          <w:szCs w:val="84"/>
        </w:rPr>
      </w:pPr>
    </w:p>
    <w:p>
      <w:pPr>
        <w:pStyle w:val="5"/>
        <w:rPr>
          <w:rFonts w:ascii="ArialUnicodeMS" w:eastAsia="ArialUnicodeMS" w:cs="ArialUnicodeMS"/>
          <w:kern w:val="0"/>
          <w:sz w:val="84"/>
          <w:szCs w:val="84"/>
        </w:rPr>
      </w:pPr>
    </w:p>
    <w:p>
      <w:pPr>
        <w:pStyle w:val="5"/>
        <w:rPr>
          <w:rFonts w:ascii="ArialUnicodeMS" w:eastAsia="ArialUnicodeMS" w:cs="ArialUnicodeMS"/>
          <w:kern w:val="0"/>
          <w:sz w:val="84"/>
          <w:szCs w:val="84"/>
        </w:rPr>
      </w:pPr>
    </w:p>
    <w:p>
      <w:pPr>
        <w:pStyle w:val="5"/>
        <w:rPr>
          <w:rFonts w:ascii="ArialUnicodeMS" w:eastAsia="ArialUnicodeMS" w:cs="ArialUnicodeMS"/>
          <w:kern w:val="0"/>
          <w:sz w:val="84"/>
          <w:szCs w:val="84"/>
        </w:rPr>
      </w:pPr>
    </w:p>
    <w:p>
      <w:pPr>
        <w:ind w:left="221" w:hanging="221"/>
        <w:jc w:val="center"/>
        <w:rPr>
          <w:rFonts w:ascii="方正小标宋简体" w:eastAsia="方正小标宋简体"/>
          <w:b/>
          <w:sz w:val="44"/>
          <w:szCs w:val="44"/>
        </w:rPr>
      </w:pPr>
      <w:r>
        <w:rPr>
          <w:rFonts w:hint="eastAsia" w:ascii="方正小标宋简体" w:eastAsia="方正小标宋简体"/>
          <w:b/>
          <w:sz w:val="44"/>
          <w:szCs w:val="44"/>
        </w:rPr>
        <w:t>目    录</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柳州市财政局</w:t>
      </w:r>
      <w:r>
        <w:rPr>
          <w:rFonts w:hint="eastAsia" w:ascii="仿宋_GB2312" w:eastAsia="仿宋_GB2312"/>
          <w:b/>
          <w:sz w:val="32"/>
          <w:szCs w:val="32"/>
        </w:rPr>
        <w:t>概况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一、主要职能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二、部门决算单位构成</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柳州市财政局</w:t>
      </w:r>
      <w:r>
        <w:rPr>
          <w:rFonts w:hint="eastAsia" w:ascii="仿宋_GB2312" w:eastAsia="仿宋_GB2312"/>
          <w:b/>
          <w:sz w:val="32"/>
          <w:szCs w:val="32"/>
        </w:rPr>
        <w:t>2018年度部门决算报表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表一：收入支出决算总表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表二：收入决算表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表三：支出决算表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表四：财政拨款收入支出决算总表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表五：一般公共预算财政拨款支出决算表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表六：一般公共预算财政拨款基本支出决算表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柳州市财政局</w:t>
      </w:r>
      <w:r>
        <w:rPr>
          <w:rFonts w:hint="eastAsia" w:ascii="仿宋_GB2312" w:eastAsia="仿宋_GB2312"/>
          <w:b/>
          <w:sz w:val="32"/>
          <w:szCs w:val="32"/>
        </w:rPr>
        <w:t>2018年度部门决算情况说明</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2018</w:t>
      </w:r>
      <w:r>
        <w:rPr>
          <w:rFonts w:hint="eastAsia" w:ascii="仿宋_GB2312" w:eastAsia="仿宋_GB2312" w:cs="仿宋_GB2312"/>
          <w:kern w:val="0"/>
          <w:sz w:val="32"/>
          <w:szCs w:val="32"/>
        </w:rPr>
        <w:t>年度收入支出决算总体情况</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2018</w:t>
      </w:r>
      <w:r>
        <w:rPr>
          <w:rFonts w:hint="eastAsia" w:ascii="仿宋_GB2312" w:eastAsia="仿宋_GB2312" w:cs="仿宋_GB2312"/>
          <w:kern w:val="0"/>
          <w:sz w:val="32"/>
          <w:szCs w:val="32"/>
        </w:rPr>
        <w:t>年度</w:t>
      </w:r>
      <w:r>
        <w:rPr>
          <w:rFonts w:hint="eastAsia" w:ascii="仿宋_GB2312" w:eastAsia="仿宋_GB2312"/>
          <w:sz w:val="32"/>
          <w:szCs w:val="32"/>
        </w:rPr>
        <w:t>收入</w:t>
      </w:r>
      <w:r>
        <w:rPr>
          <w:rFonts w:hint="eastAsia" w:ascii="仿宋_GB2312" w:eastAsia="仿宋_GB2312" w:cs="仿宋_GB2312"/>
          <w:kern w:val="0"/>
          <w:sz w:val="32"/>
          <w:szCs w:val="32"/>
        </w:rPr>
        <w:t>决算情况</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kern w:val="0"/>
          <w:sz w:val="32"/>
          <w:szCs w:val="32"/>
        </w:rPr>
        <w:t>2018</w:t>
      </w:r>
      <w:r>
        <w:rPr>
          <w:rFonts w:hint="eastAsia" w:ascii="仿宋_GB2312" w:eastAsia="仿宋_GB2312" w:cs="仿宋_GB2312"/>
          <w:kern w:val="0"/>
          <w:sz w:val="32"/>
          <w:szCs w:val="32"/>
        </w:rPr>
        <w:t>年度支出决算情况</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2018年度财政拨款收入支出决算情况</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kern w:val="0"/>
          <w:sz w:val="32"/>
          <w:szCs w:val="32"/>
        </w:rPr>
        <w:t>2018</w:t>
      </w:r>
      <w:r>
        <w:rPr>
          <w:rFonts w:hint="eastAsia" w:ascii="仿宋_GB2312" w:eastAsia="仿宋_GB2312" w:cs="仿宋_GB2312"/>
          <w:kern w:val="0"/>
          <w:sz w:val="32"/>
          <w:szCs w:val="32"/>
        </w:rPr>
        <w:t>年度一般公共预算财政拨款支出决算情况</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kern w:val="0"/>
          <w:sz w:val="32"/>
          <w:szCs w:val="32"/>
        </w:rPr>
        <w:t>2018</w:t>
      </w:r>
      <w:r>
        <w:rPr>
          <w:rFonts w:hint="eastAsia" w:ascii="仿宋_GB2312" w:eastAsia="仿宋_GB2312" w:cs="仿宋_GB2312"/>
          <w:kern w:val="0"/>
          <w:sz w:val="32"/>
          <w:szCs w:val="32"/>
        </w:rPr>
        <w:t>年度一般公共预算财政拨款基本支出决算情况</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ascii="仿宋_GB2312" w:eastAsia="仿宋_GB2312"/>
          <w:kern w:val="0"/>
          <w:sz w:val="32"/>
          <w:szCs w:val="32"/>
        </w:rPr>
        <w:t>2018</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ascii="仿宋_GB2312" w:eastAsia="仿宋_GB2312"/>
          <w:kern w:val="0"/>
          <w:sz w:val="32"/>
          <w:szCs w:val="32"/>
        </w:rPr>
        <w:t>2018</w:t>
      </w:r>
      <w:r>
        <w:rPr>
          <w:rFonts w:hint="eastAsia" w:ascii="仿宋_GB2312" w:eastAsia="仿宋_GB2312" w:cs="仿宋_GB2312"/>
          <w:bCs/>
          <w:kern w:val="0"/>
          <w:sz w:val="32"/>
          <w:szCs w:val="32"/>
        </w:rPr>
        <w:t>年度政府性基金预算财政拨款收入支出决算情况</w:t>
      </w:r>
    </w:p>
    <w:p>
      <w:pPr>
        <w:autoSpaceDE w:val="0"/>
        <w:autoSpaceDN w:val="0"/>
        <w:adjustRightInd w:val="0"/>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kern w:val="0"/>
          <w:sz w:val="32"/>
          <w:szCs w:val="32"/>
        </w:rPr>
        <w:t>2018</w:t>
      </w:r>
      <w:r>
        <w:rPr>
          <w:rFonts w:hint="eastAsia" w:ascii="仿宋_GB2312" w:eastAsia="仿宋_GB2312" w:cs="仿宋_GB2312"/>
          <w:bCs/>
          <w:kern w:val="0"/>
          <w:sz w:val="32"/>
          <w:szCs w:val="32"/>
        </w:rPr>
        <w:t>年度预算绩效情况说明</w:t>
      </w:r>
    </w:p>
    <w:p>
      <w:pPr>
        <w:numPr>
          <w:ilvl w:val="0"/>
          <w:numId w:val="1"/>
        </w:numPr>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其他重要事项的情况说明</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第四部分：名词解释</w:t>
      </w:r>
    </w:p>
    <w:p>
      <w:pPr>
        <w:spacing w:line="560" w:lineRule="exact"/>
        <w:ind w:firstLine="643" w:firstLineChars="200"/>
        <w:rPr>
          <w:rFonts w:ascii="仿宋_GB2312" w:eastAsia="仿宋_GB2312"/>
          <w:b/>
          <w:sz w:val="32"/>
          <w:szCs w:val="32"/>
        </w:rPr>
      </w:pPr>
    </w:p>
    <w:p>
      <w:pPr>
        <w:spacing w:line="560" w:lineRule="exact"/>
        <w:ind w:firstLine="643" w:firstLineChars="200"/>
        <w:rPr>
          <w:rFonts w:ascii="仿宋_GB2312" w:eastAsia="仿宋_GB2312"/>
          <w:b/>
          <w:sz w:val="32"/>
          <w:szCs w:val="32"/>
        </w:rPr>
      </w:pPr>
    </w:p>
    <w:p>
      <w:pPr>
        <w:spacing w:line="560" w:lineRule="exact"/>
        <w:ind w:firstLine="643" w:firstLineChars="200"/>
        <w:rPr>
          <w:rFonts w:ascii="仿宋_GB2312" w:eastAsia="仿宋_GB2312"/>
          <w:b/>
          <w:sz w:val="32"/>
          <w:szCs w:val="32"/>
        </w:rPr>
      </w:pPr>
    </w:p>
    <w:p>
      <w:pPr>
        <w:spacing w:line="560" w:lineRule="exact"/>
        <w:ind w:firstLine="643" w:firstLineChars="200"/>
        <w:rPr>
          <w:rFonts w:ascii="仿宋_GB2312" w:eastAsia="仿宋_GB2312"/>
          <w:b/>
          <w:sz w:val="32"/>
          <w:szCs w:val="32"/>
        </w:rPr>
      </w:pPr>
    </w:p>
    <w:p>
      <w:pPr>
        <w:spacing w:line="560" w:lineRule="exact"/>
        <w:ind w:firstLine="643" w:firstLineChars="200"/>
        <w:rPr>
          <w:rFonts w:ascii="仿宋_GB2312" w:eastAsia="仿宋_GB2312"/>
          <w:b/>
          <w:sz w:val="32"/>
          <w:szCs w:val="32"/>
        </w:rPr>
      </w:pPr>
    </w:p>
    <w:p>
      <w:pPr>
        <w:spacing w:line="560" w:lineRule="exact"/>
        <w:ind w:firstLine="643" w:firstLineChars="200"/>
        <w:rPr>
          <w:rFonts w:ascii="仿宋_GB2312" w:eastAsia="仿宋_GB2312"/>
          <w:b/>
          <w:sz w:val="32"/>
          <w:szCs w:val="32"/>
        </w:rPr>
      </w:pPr>
    </w:p>
    <w:p>
      <w:pPr>
        <w:spacing w:line="560" w:lineRule="exact"/>
        <w:ind w:firstLine="643" w:firstLineChars="200"/>
        <w:rPr>
          <w:rFonts w:ascii="仿宋_GB2312" w:eastAsia="仿宋_GB2312"/>
          <w:b/>
          <w:sz w:val="32"/>
          <w:szCs w:val="32"/>
        </w:rPr>
      </w:pPr>
    </w:p>
    <w:p>
      <w:pPr>
        <w:spacing w:line="560" w:lineRule="exact"/>
        <w:ind w:firstLine="643" w:firstLineChars="200"/>
        <w:rPr>
          <w:rFonts w:ascii="仿宋_GB2312" w:eastAsia="仿宋_GB2312"/>
          <w:b/>
          <w:sz w:val="32"/>
          <w:szCs w:val="32"/>
        </w:rPr>
      </w:pPr>
    </w:p>
    <w:p>
      <w:pPr>
        <w:spacing w:line="560" w:lineRule="exact"/>
        <w:ind w:firstLine="643" w:firstLineChars="200"/>
        <w:rPr>
          <w:rFonts w:ascii="仿宋_GB2312" w:eastAsia="仿宋_GB2312"/>
          <w:b/>
          <w:sz w:val="32"/>
          <w:szCs w:val="32"/>
        </w:rPr>
      </w:pPr>
    </w:p>
    <w:p>
      <w:pPr>
        <w:spacing w:line="560" w:lineRule="exact"/>
        <w:ind w:firstLine="643" w:firstLineChars="200"/>
        <w:rPr>
          <w:rFonts w:ascii="仿宋_GB2312" w:eastAsia="仿宋_GB2312"/>
          <w:b/>
          <w:sz w:val="32"/>
          <w:szCs w:val="32"/>
        </w:rPr>
      </w:pPr>
    </w:p>
    <w:p>
      <w:pPr>
        <w:spacing w:line="560" w:lineRule="exact"/>
        <w:ind w:firstLine="643" w:firstLineChars="200"/>
        <w:rPr>
          <w:rFonts w:ascii="仿宋_GB2312" w:eastAsia="仿宋_GB2312"/>
          <w:b/>
          <w:sz w:val="32"/>
          <w:szCs w:val="32"/>
        </w:rPr>
      </w:pPr>
    </w:p>
    <w:p>
      <w:pPr>
        <w:spacing w:line="560" w:lineRule="exact"/>
        <w:ind w:firstLine="643" w:firstLineChars="200"/>
        <w:rPr>
          <w:rFonts w:ascii="仿宋_GB2312" w:eastAsia="仿宋_GB2312"/>
          <w:b/>
          <w:sz w:val="32"/>
          <w:szCs w:val="32"/>
        </w:rPr>
      </w:pPr>
    </w:p>
    <w:p>
      <w:pPr>
        <w:spacing w:line="560" w:lineRule="exact"/>
        <w:ind w:firstLine="643" w:firstLineChars="200"/>
        <w:rPr>
          <w:rFonts w:ascii="仿宋_GB2312" w:eastAsia="仿宋_GB2312"/>
          <w:b/>
          <w:sz w:val="32"/>
          <w:szCs w:val="32"/>
        </w:rPr>
      </w:pPr>
    </w:p>
    <w:p>
      <w:pPr>
        <w:spacing w:line="560" w:lineRule="exact"/>
        <w:ind w:firstLine="643" w:firstLineChars="200"/>
        <w:rPr>
          <w:rFonts w:ascii="仿宋_GB2312" w:eastAsia="仿宋_GB2312"/>
          <w:b/>
          <w:sz w:val="32"/>
          <w:szCs w:val="32"/>
        </w:rPr>
      </w:pPr>
    </w:p>
    <w:p>
      <w:pPr>
        <w:spacing w:line="560" w:lineRule="exact"/>
        <w:ind w:firstLine="643" w:firstLineChars="200"/>
        <w:rPr>
          <w:rFonts w:ascii="仿宋_GB2312" w:eastAsia="仿宋_GB2312"/>
          <w:b/>
          <w:sz w:val="32"/>
          <w:szCs w:val="32"/>
        </w:rPr>
      </w:pPr>
    </w:p>
    <w:p>
      <w:pPr>
        <w:spacing w:line="560" w:lineRule="exact"/>
        <w:ind w:firstLine="643" w:firstLineChars="200"/>
        <w:rPr>
          <w:rFonts w:ascii="仿宋_GB2312" w:eastAsia="仿宋_GB2312"/>
          <w:b/>
          <w:sz w:val="32"/>
          <w:szCs w:val="32"/>
        </w:rPr>
      </w:pPr>
    </w:p>
    <w:p>
      <w:pPr>
        <w:spacing w:line="560" w:lineRule="exact"/>
        <w:ind w:firstLine="643" w:firstLineChars="200"/>
        <w:rPr>
          <w:rFonts w:ascii="仿宋_GB2312" w:eastAsia="仿宋_GB2312"/>
          <w:b/>
          <w:sz w:val="32"/>
          <w:szCs w:val="32"/>
        </w:rPr>
      </w:pPr>
    </w:p>
    <w:p>
      <w:pPr>
        <w:spacing w:line="560" w:lineRule="exact"/>
        <w:ind w:firstLine="643" w:firstLineChars="200"/>
        <w:rPr>
          <w:rFonts w:ascii="仿宋_GB2312" w:eastAsia="仿宋_GB2312"/>
          <w:b/>
          <w:sz w:val="32"/>
          <w:szCs w:val="32"/>
        </w:rPr>
      </w:pPr>
    </w:p>
    <w:p>
      <w:pPr>
        <w:spacing w:line="560" w:lineRule="exact"/>
        <w:ind w:firstLine="643" w:firstLineChars="200"/>
        <w:rPr>
          <w:rFonts w:ascii="仿宋_GB2312" w:eastAsia="仿宋_GB2312"/>
          <w:b/>
          <w:sz w:val="32"/>
          <w:szCs w:val="32"/>
        </w:rPr>
      </w:pPr>
    </w:p>
    <w:p>
      <w:pPr>
        <w:spacing w:line="560" w:lineRule="exact"/>
        <w:rPr>
          <w:rFonts w:ascii="仿宋_GB2312" w:eastAsia="仿宋_GB2312"/>
          <w:b/>
          <w:sz w:val="32"/>
          <w:szCs w:val="32"/>
        </w:rPr>
      </w:pPr>
    </w:p>
    <w:p>
      <w:pPr>
        <w:spacing w:line="560" w:lineRule="exact"/>
        <w:ind w:firstLine="643" w:firstLineChars="200"/>
        <w:jc w:val="center"/>
        <w:rPr>
          <w:rFonts w:ascii="仿宋_GB2312" w:eastAsia="仿宋_GB2312"/>
          <w:b/>
          <w:sz w:val="32"/>
          <w:szCs w:val="32"/>
        </w:rPr>
      </w:pPr>
    </w:p>
    <w:p>
      <w:pPr>
        <w:spacing w:line="560" w:lineRule="exact"/>
        <w:ind w:firstLine="643" w:firstLineChars="200"/>
        <w:jc w:val="center"/>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柳州市财政局</w:t>
      </w:r>
      <w:r>
        <w:rPr>
          <w:rFonts w:hint="eastAsia" w:ascii="仿宋_GB2312" w:eastAsia="仿宋_GB2312"/>
          <w:b/>
          <w:sz w:val="32"/>
          <w:szCs w:val="32"/>
        </w:rPr>
        <w:t>概况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一、主要职能</w:t>
      </w:r>
    </w:p>
    <w:p>
      <w:pPr>
        <w:spacing w:line="560" w:lineRule="exact"/>
        <w:ind w:firstLine="640" w:firstLineChars="200"/>
        <w:rPr>
          <w:rFonts w:ascii="仿宋_GB2312" w:hAnsi="宋体" w:eastAsia="仿宋_GB2312" w:cs="宋体"/>
          <w:sz w:val="32"/>
          <w:szCs w:val="32"/>
        </w:rPr>
      </w:pPr>
      <w:r>
        <w:rPr>
          <w:rFonts w:hint="eastAsia" w:ascii="仿宋_GB2312" w:eastAsia="仿宋_GB2312"/>
          <w:sz w:val="32"/>
          <w:szCs w:val="32"/>
        </w:rPr>
        <w:t>（一）贯彻国家、自治区财政、税收的方针政策及其他有关政策，拟订市财税发展战略、规划、政策和改革方案并组织实施，拟订市财政分配政策，参与制定本市各项经济政策，提出运用财</w:t>
      </w:r>
      <w:r>
        <w:rPr>
          <w:rFonts w:hint="eastAsia" w:ascii="仿宋_GB2312" w:hAnsi="宋体" w:eastAsia="仿宋_GB2312" w:cs="宋体"/>
          <w:sz w:val="32"/>
          <w:szCs w:val="32"/>
        </w:rPr>
        <w:t>税政策实施宏观调控的建议。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（二）依法依规提出市财政、预算、税收、财务、会计、资产评估管理等规范性文件立项的建议，根据市人民政府委托起草有关规范性文件草案。</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承担市本级各项财政收支管理的责任。负责编制年度市本级预决算草案并组织执行，受市人民政府委托，向市人民代表大会报告全市和市本级预算草案及预算执行情况，向市人大常委会报告决算。组织制定经费开支标准、定额，负责审核批复部门（单位）的年度预决算。</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（四）负责市政府非税收入管理。编制政府性基金预决算草案。管理财政票据。负责彩票市场监管。</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（五）组织制定国库管理制度，按规定开展国库现金管理工作。负责制定市政府采购制度并监督管理。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（六）负责制定我市行政事业单位国有资产管理规章制度，管理市本级行政事业单位国有资产，负责行政事业单位和社会团体的非贸易外汇管理。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编制国有资本经营预决算草案，制定国有资本经营预算的制度和办法，负责市本级企业国有资本收益收支管理，组织实施企业财务制度，按规定管理地方金融类企业国有资产，参与制定企业国有资产管理相关制度。</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（八）负责管理和监督市本级政府性投资项目资金，参与拟订市基本建设投资的有关政策，负责有关政策性补贴和专项储备资金财政管理工作。负责市农业综合开发管理工作。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（九）会同有关部门管理市财政社会保障和就业支出，负责社会保险基金财政监管工作，会同有关部门拟订社会保障资金（基金）的财务管理制度和办法，编制社会保障预决算草案。</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（十）制定市地方政府性债务管理制度和政策，防范财政风险。管理本市政府外债。</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（十一）负责管理市会计工作，监督和规范会计行为，组织实施国家统一的会计制度，协助做好指导和监督注册会计师和会计事务所的业务，指导和管理社会审计。</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（十二）监督检查市财税法规、政策的执行情况，反映财政收支管理中的重大问题。</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（十三）承办市人民政府交办的其他事项。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二、部门决算单位构成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柳州市财政局部门包含柳州市财政局机关及下属七个二层单位，七个二层单位分别为：</w:t>
      </w:r>
      <w:r>
        <w:rPr>
          <w:rFonts w:hint="eastAsia" w:ascii="仿宋_GB2312" w:eastAsia="仿宋_GB2312"/>
          <w:color w:val="000000"/>
          <w:sz w:val="32"/>
          <w:szCs w:val="32"/>
        </w:rPr>
        <w:t>柳州市财政局干部教育中心（广西中华会计函授学校柳州市分校）、柳州市财政预算绩效管理局、柳州市民族经济发展资金管理局（柳州市非税收入管理局）、柳州市财政投资评审中心、柳州市财政稽查大队、柳州市财政国库支付局、柳州市财政预</w:t>
      </w:r>
      <w:r>
        <w:rPr>
          <w:rFonts w:hint="eastAsia" w:ascii="仿宋_GB2312" w:eastAsia="仿宋_GB2312"/>
          <w:sz w:val="32"/>
          <w:szCs w:val="32"/>
        </w:rPr>
        <w:t>算编审中心。</w:t>
      </w:r>
    </w:p>
    <w:p>
      <w:pPr>
        <w:rPr>
          <w:rFonts w:ascii="仿宋_GB2312" w:eastAsia="仿宋_GB2312"/>
          <w:b/>
          <w:sz w:val="32"/>
          <w:szCs w:val="32"/>
        </w:rPr>
      </w:pPr>
    </w:p>
    <w:p>
      <w:pPr>
        <w:ind w:left="161" w:hanging="161"/>
        <w:jc w:val="center"/>
        <w:rPr>
          <w:rFonts w:ascii="仿宋_GB2312" w:eastAsia="仿宋_GB2312"/>
          <w:b/>
          <w:sz w:val="32"/>
          <w:szCs w:val="32"/>
        </w:rPr>
      </w:pPr>
    </w:p>
    <w:p>
      <w:pPr>
        <w:ind w:left="161" w:hanging="161"/>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柳州市财政局</w:t>
      </w:r>
      <w:r>
        <w:rPr>
          <w:rFonts w:hint="eastAsia" w:ascii="仿宋_GB2312" w:eastAsia="仿宋_GB2312"/>
          <w:b/>
          <w:sz w:val="32"/>
          <w:szCs w:val="32"/>
        </w:rPr>
        <w:t>2018年度部门决算报表</w:t>
      </w:r>
    </w:p>
    <w:p>
      <w:pPr>
        <w:ind w:left="105" w:hanging="105"/>
      </w:pPr>
    </w:p>
    <w:tbl>
      <w:tblPr>
        <w:tblStyle w:val="6"/>
        <w:tblW w:w="9140" w:type="dxa"/>
        <w:jc w:val="center"/>
        <w:tblLayout w:type="fixed"/>
        <w:tblCellMar>
          <w:top w:w="0" w:type="dxa"/>
          <w:left w:w="108" w:type="dxa"/>
          <w:bottom w:w="0" w:type="dxa"/>
          <w:right w:w="108" w:type="dxa"/>
        </w:tblCellMar>
      </w:tblPr>
      <w:tblGrid>
        <w:gridCol w:w="3015"/>
        <w:gridCol w:w="13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9075" w:type="dxa"/>
            <w:gridSpan w:val="4"/>
            <w:tcBorders>
              <w:top w:val="nil"/>
              <w:left w:val="nil"/>
              <w:bottom w:val="nil"/>
              <w:right w:val="nil"/>
            </w:tcBorders>
            <w:vAlign w:val="bottom"/>
          </w:tcPr>
          <w:p>
            <w:pPr>
              <w:widowControl/>
              <w:ind w:left="180" w:hanging="180"/>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ind w:left="110" w:hanging="110"/>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4400" w:type="dxa"/>
            <w:gridSpan w:val="2"/>
            <w:tcBorders>
              <w:top w:val="single" w:color="auto" w:sz="4" w:space="0"/>
              <w:left w:val="single" w:color="auto" w:sz="4" w:space="0"/>
              <w:bottom w:val="single" w:color="auto" w:sz="4" w:space="0"/>
              <w:right w:val="single" w:color="auto" w:sz="4" w:space="0"/>
            </w:tcBorders>
            <w:vAlign w:val="center"/>
          </w:tcPr>
          <w:p>
            <w:pPr>
              <w:widowControl/>
              <w:ind w:left="110" w:hanging="11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ind w:left="110" w:hanging="110"/>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left="110" w:hanging="110"/>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385" w:type="dxa"/>
            <w:tcBorders>
              <w:top w:val="nil"/>
              <w:left w:val="nil"/>
              <w:bottom w:val="single" w:color="auto" w:sz="4" w:space="0"/>
              <w:right w:val="single" w:color="auto" w:sz="4" w:space="0"/>
            </w:tcBorders>
            <w:vAlign w:val="center"/>
          </w:tcPr>
          <w:p>
            <w:pPr>
              <w:widowControl/>
              <w:ind w:left="110" w:hanging="110"/>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ind w:left="110" w:hanging="110"/>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ind w:left="110" w:hanging="110"/>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一、财政拨款收入</w:t>
            </w:r>
          </w:p>
        </w:tc>
        <w:tc>
          <w:tcPr>
            <w:tcW w:w="1385" w:type="dxa"/>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r>
              <w:rPr>
                <w:rFonts w:hint="eastAsia" w:ascii="宋体" w:hAnsi="宋体" w:cs="宋体"/>
                <w:color w:val="000000"/>
                <w:kern w:val="0"/>
                <w:sz w:val="22"/>
                <w:szCs w:val="22"/>
              </w:rPr>
              <w:t>6765.75</w:t>
            </w:r>
          </w:p>
        </w:tc>
        <w:tc>
          <w:tcPr>
            <w:tcW w:w="3123" w:type="dxa"/>
            <w:tcBorders>
              <w:top w:val="nil"/>
              <w:left w:val="nil"/>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r>
              <w:rPr>
                <w:rFonts w:hint="eastAsia" w:ascii="宋体" w:hAnsi="宋体" w:cs="宋体"/>
                <w:color w:val="000000"/>
                <w:kern w:val="0"/>
                <w:sz w:val="22"/>
                <w:szCs w:val="22"/>
              </w:rPr>
              <w:t>5446.59</w:t>
            </w: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二、上级补助收入</w:t>
            </w:r>
          </w:p>
        </w:tc>
        <w:tc>
          <w:tcPr>
            <w:tcW w:w="1385" w:type="dxa"/>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r>
              <w:rPr>
                <w:rFonts w:hint="eastAsia" w:ascii="宋体" w:hAnsi="宋体" w:cs="宋体"/>
                <w:color w:val="000000"/>
                <w:kern w:val="0"/>
                <w:sz w:val="22"/>
                <w:szCs w:val="22"/>
              </w:rPr>
              <w:t>2.96</w:t>
            </w:r>
          </w:p>
        </w:tc>
        <w:tc>
          <w:tcPr>
            <w:tcW w:w="3123" w:type="dxa"/>
            <w:tcBorders>
              <w:top w:val="nil"/>
              <w:left w:val="nil"/>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三、事业收入</w:t>
            </w:r>
          </w:p>
        </w:tc>
        <w:tc>
          <w:tcPr>
            <w:tcW w:w="1385" w:type="dxa"/>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五、教育支出</w:t>
            </w:r>
          </w:p>
        </w:tc>
        <w:tc>
          <w:tcPr>
            <w:tcW w:w="1617" w:type="dxa"/>
            <w:gridSpan w:val="2"/>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四、经营收入</w:t>
            </w:r>
          </w:p>
        </w:tc>
        <w:tc>
          <w:tcPr>
            <w:tcW w:w="1385" w:type="dxa"/>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六、科学技术支出</w:t>
            </w:r>
          </w:p>
        </w:tc>
        <w:tc>
          <w:tcPr>
            <w:tcW w:w="1617" w:type="dxa"/>
            <w:gridSpan w:val="2"/>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五、附属单位上缴收入</w:t>
            </w:r>
          </w:p>
        </w:tc>
        <w:tc>
          <w:tcPr>
            <w:tcW w:w="1385" w:type="dxa"/>
            <w:tcBorders>
              <w:top w:val="nil"/>
              <w:left w:val="nil"/>
              <w:bottom w:val="single" w:color="auto" w:sz="4" w:space="0"/>
              <w:right w:val="single" w:color="auto" w:sz="4" w:space="0"/>
            </w:tcBorders>
            <w:vAlign w:val="center"/>
          </w:tcPr>
          <w:p>
            <w:pPr>
              <w:widowControl/>
              <w:ind w:firstLine="110" w:firstLineChars="5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六、其他收入</w:t>
            </w:r>
          </w:p>
        </w:tc>
        <w:tc>
          <w:tcPr>
            <w:tcW w:w="1385" w:type="dxa"/>
            <w:tcBorders>
              <w:top w:val="nil"/>
              <w:left w:val="nil"/>
              <w:bottom w:val="single" w:color="auto" w:sz="4" w:space="0"/>
              <w:right w:val="single" w:color="auto" w:sz="4" w:space="0"/>
            </w:tcBorders>
            <w:vAlign w:val="center"/>
          </w:tcPr>
          <w:p>
            <w:pPr>
              <w:widowControl/>
              <w:ind w:firstLine="110" w:firstLineChars="50"/>
              <w:jc w:val="right"/>
              <w:rPr>
                <w:rFonts w:ascii="宋体" w:hAnsi="宋体" w:cs="宋体"/>
                <w:color w:val="000000"/>
                <w:kern w:val="0"/>
                <w:sz w:val="22"/>
                <w:szCs w:val="22"/>
              </w:rPr>
            </w:pPr>
            <w:r>
              <w:rPr>
                <w:rFonts w:hint="eastAsia" w:ascii="宋体" w:hAnsi="宋体" w:cs="宋体"/>
                <w:color w:val="000000"/>
                <w:kern w:val="0"/>
                <w:sz w:val="22"/>
                <w:szCs w:val="22"/>
              </w:rPr>
              <w:t>69.26</w:t>
            </w:r>
          </w:p>
        </w:tc>
        <w:tc>
          <w:tcPr>
            <w:tcW w:w="3123" w:type="dxa"/>
            <w:tcBorders>
              <w:top w:val="nil"/>
              <w:left w:val="nil"/>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八、社会保障和就业支出</w:t>
            </w:r>
          </w:p>
        </w:tc>
        <w:tc>
          <w:tcPr>
            <w:tcW w:w="1617" w:type="dxa"/>
            <w:gridSpan w:val="2"/>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r>
              <w:rPr>
                <w:rFonts w:hint="eastAsia" w:ascii="宋体" w:hAnsi="宋体" w:cs="宋体"/>
                <w:color w:val="000000"/>
                <w:kern w:val="0"/>
                <w:sz w:val="22"/>
                <w:szCs w:val="22"/>
              </w:rPr>
              <w:t>524.53</w:t>
            </w: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九、医疗卫生与计划生育支出</w:t>
            </w:r>
          </w:p>
        </w:tc>
        <w:tc>
          <w:tcPr>
            <w:tcW w:w="1617" w:type="dxa"/>
            <w:gridSpan w:val="2"/>
            <w:tcBorders>
              <w:top w:val="nil"/>
              <w:left w:val="nil"/>
              <w:bottom w:val="single" w:color="auto" w:sz="4" w:space="0"/>
              <w:right w:val="single" w:color="auto" w:sz="4" w:space="0"/>
            </w:tcBorders>
            <w:vAlign w:val="center"/>
          </w:tcPr>
          <w:p>
            <w:pPr>
              <w:widowControl/>
              <w:ind w:firstLine="330" w:firstLineChars="150"/>
              <w:jc w:val="right"/>
              <w:rPr>
                <w:rFonts w:ascii="宋体" w:hAnsi="宋体" w:cs="宋体"/>
                <w:color w:val="000000"/>
                <w:kern w:val="0"/>
                <w:sz w:val="22"/>
                <w:szCs w:val="22"/>
              </w:rPr>
            </w:pPr>
            <w:r>
              <w:rPr>
                <w:rFonts w:hint="eastAsia" w:ascii="宋体" w:hAnsi="宋体" w:cs="宋体"/>
                <w:color w:val="000000"/>
                <w:kern w:val="0"/>
                <w:sz w:val="22"/>
                <w:szCs w:val="22"/>
              </w:rPr>
              <w:t>216.86</w:t>
            </w: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十一、城乡社区支出</w:t>
            </w:r>
          </w:p>
        </w:tc>
        <w:tc>
          <w:tcPr>
            <w:tcW w:w="1617" w:type="dxa"/>
            <w:gridSpan w:val="2"/>
            <w:tcBorders>
              <w:top w:val="nil"/>
              <w:left w:val="nil"/>
              <w:bottom w:val="single" w:color="auto" w:sz="4" w:space="0"/>
              <w:right w:val="single" w:color="auto" w:sz="4" w:space="0"/>
            </w:tcBorders>
            <w:vAlign w:val="center"/>
          </w:tcPr>
          <w:p>
            <w:pPr>
              <w:widowControl/>
              <w:ind w:firstLine="330" w:firstLineChars="150"/>
              <w:jc w:val="right"/>
              <w:rPr>
                <w:rFonts w:ascii="宋体" w:hAnsi="宋体" w:cs="宋体"/>
                <w:color w:val="000000"/>
                <w:kern w:val="0"/>
                <w:sz w:val="22"/>
                <w:szCs w:val="22"/>
              </w:rPr>
            </w:pPr>
            <w:r>
              <w:rPr>
                <w:rFonts w:hint="eastAsia" w:ascii="宋体" w:hAnsi="宋体" w:cs="宋体"/>
                <w:color w:val="000000"/>
                <w:kern w:val="0"/>
                <w:sz w:val="22"/>
                <w:szCs w:val="22"/>
              </w:rPr>
              <w:t>531.73</w:t>
            </w: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十二、农林水支出</w:t>
            </w:r>
          </w:p>
        </w:tc>
        <w:tc>
          <w:tcPr>
            <w:tcW w:w="1617" w:type="dxa"/>
            <w:gridSpan w:val="2"/>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r>
              <w:rPr>
                <w:rFonts w:hint="eastAsia" w:ascii="宋体" w:hAnsi="宋体" w:cs="宋体"/>
                <w:color w:val="000000"/>
                <w:kern w:val="0"/>
                <w:sz w:val="22"/>
                <w:szCs w:val="22"/>
              </w:rPr>
              <w:t>53.79</w:t>
            </w: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十三、交通运输支出</w:t>
            </w:r>
          </w:p>
        </w:tc>
        <w:tc>
          <w:tcPr>
            <w:tcW w:w="1617" w:type="dxa"/>
            <w:gridSpan w:val="2"/>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十四、资源勘探信息等支出</w:t>
            </w:r>
          </w:p>
        </w:tc>
        <w:tc>
          <w:tcPr>
            <w:tcW w:w="1617" w:type="dxa"/>
            <w:gridSpan w:val="2"/>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r>
              <w:rPr>
                <w:rFonts w:hint="eastAsia" w:ascii="宋体" w:hAnsi="宋体" w:cs="宋体"/>
                <w:color w:val="000000"/>
                <w:kern w:val="0"/>
                <w:sz w:val="22"/>
                <w:szCs w:val="22"/>
              </w:rPr>
              <w:t>0.32</w:t>
            </w: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十九、住房保障支出</w:t>
            </w:r>
          </w:p>
        </w:tc>
        <w:tc>
          <w:tcPr>
            <w:tcW w:w="1617" w:type="dxa"/>
            <w:gridSpan w:val="2"/>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r>
              <w:rPr>
                <w:rFonts w:hint="eastAsia" w:ascii="宋体" w:hAnsi="宋体" w:cs="宋体"/>
                <w:color w:val="000000"/>
                <w:kern w:val="0"/>
                <w:sz w:val="22"/>
                <w:szCs w:val="22"/>
              </w:rPr>
              <w:t>256.51</w:t>
            </w: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二十一、其他支出</w:t>
            </w:r>
          </w:p>
        </w:tc>
        <w:tc>
          <w:tcPr>
            <w:tcW w:w="1617" w:type="dxa"/>
            <w:gridSpan w:val="2"/>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r>
              <w:rPr>
                <w:rFonts w:hint="eastAsia" w:ascii="宋体" w:hAnsi="宋体" w:cs="宋体"/>
                <w:color w:val="000000"/>
                <w:kern w:val="0"/>
                <w:sz w:val="22"/>
                <w:szCs w:val="22"/>
              </w:rPr>
              <w:t>74.55</w:t>
            </w: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left="110" w:hanging="110"/>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385" w:type="dxa"/>
            <w:tcBorders>
              <w:top w:val="nil"/>
              <w:left w:val="nil"/>
              <w:bottom w:val="single" w:color="auto" w:sz="4" w:space="0"/>
              <w:right w:val="single" w:color="auto" w:sz="4" w:space="0"/>
            </w:tcBorders>
            <w:vAlign w:val="center"/>
          </w:tcPr>
          <w:p>
            <w:pPr>
              <w:widowControl/>
              <w:ind w:left="110" w:hanging="110"/>
              <w:jc w:val="right"/>
              <w:rPr>
                <w:rFonts w:ascii="宋体" w:hAnsi="宋体" w:cs="宋体"/>
                <w:b/>
                <w:color w:val="000000"/>
                <w:kern w:val="0"/>
                <w:sz w:val="22"/>
                <w:szCs w:val="22"/>
              </w:rPr>
            </w:pPr>
            <w:r>
              <w:rPr>
                <w:rFonts w:hint="eastAsia" w:ascii="宋体" w:hAnsi="宋体" w:cs="宋体"/>
                <w:b/>
                <w:color w:val="000000"/>
                <w:kern w:val="0"/>
                <w:sz w:val="22"/>
                <w:szCs w:val="22"/>
              </w:rPr>
              <w:t>6837.97</w:t>
            </w:r>
          </w:p>
        </w:tc>
        <w:tc>
          <w:tcPr>
            <w:tcW w:w="3123" w:type="dxa"/>
            <w:tcBorders>
              <w:top w:val="nil"/>
              <w:left w:val="nil"/>
              <w:bottom w:val="single" w:color="auto" w:sz="4" w:space="0"/>
              <w:right w:val="single" w:color="auto" w:sz="4" w:space="0"/>
            </w:tcBorders>
            <w:vAlign w:val="center"/>
          </w:tcPr>
          <w:p>
            <w:pPr>
              <w:widowControl/>
              <w:ind w:left="110" w:hanging="110"/>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ind w:left="110" w:hanging="110"/>
              <w:jc w:val="right"/>
              <w:rPr>
                <w:rFonts w:ascii="宋体" w:hAnsi="宋体" w:cs="宋体"/>
                <w:b/>
                <w:color w:val="000000"/>
                <w:kern w:val="0"/>
                <w:sz w:val="22"/>
                <w:szCs w:val="22"/>
              </w:rPr>
            </w:pPr>
            <w:r>
              <w:rPr>
                <w:rFonts w:hint="eastAsia" w:ascii="宋体" w:hAnsi="宋体" w:cs="宋体"/>
                <w:b/>
                <w:color w:val="000000"/>
                <w:kern w:val="0"/>
                <w:sz w:val="22"/>
                <w:szCs w:val="22"/>
              </w:rPr>
              <w:t>7104.88</w:t>
            </w: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用事业基金弥补收支差额</w:t>
            </w:r>
          </w:p>
        </w:tc>
        <w:tc>
          <w:tcPr>
            <w:tcW w:w="1385" w:type="dxa"/>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 xml:space="preserve">  提取职工福利基金</w:t>
            </w:r>
          </w:p>
        </w:tc>
        <w:tc>
          <w:tcPr>
            <w:tcW w:w="1617" w:type="dxa"/>
            <w:gridSpan w:val="2"/>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 xml:space="preserve">  转入事业基金</w:t>
            </w:r>
          </w:p>
        </w:tc>
        <w:tc>
          <w:tcPr>
            <w:tcW w:w="1617" w:type="dxa"/>
            <w:gridSpan w:val="2"/>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上年结转</w:t>
            </w:r>
          </w:p>
        </w:tc>
        <w:tc>
          <w:tcPr>
            <w:tcW w:w="1385" w:type="dxa"/>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r>
              <w:rPr>
                <w:rFonts w:hint="eastAsia" w:ascii="宋体" w:hAnsi="宋体" w:cs="宋体"/>
                <w:color w:val="000000"/>
                <w:kern w:val="0"/>
                <w:sz w:val="22"/>
                <w:szCs w:val="22"/>
              </w:rPr>
              <w:t>3363.22</w:t>
            </w:r>
          </w:p>
        </w:tc>
        <w:tc>
          <w:tcPr>
            <w:tcW w:w="3123" w:type="dxa"/>
            <w:tcBorders>
              <w:top w:val="nil"/>
              <w:left w:val="nil"/>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r>
              <w:rPr>
                <w:rFonts w:hint="eastAsia" w:ascii="宋体" w:hAnsi="宋体" w:cs="宋体"/>
                <w:color w:val="000000"/>
                <w:kern w:val="0"/>
                <w:sz w:val="22"/>
                <w:szCs w:val="22"/>
              </w:rPr>
              <w:t>3096.31</w:t>
            </w: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385" w:type="dxa"/>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r>
              <w:rPr>
                <w:rFonts w:hint="eastAsia" w:ascii="宋体" w:hAnsi="宋体" w:cs="宋体"/>
                <w:color w:val="000000"/>
                <w:kern w:val="0"/>
                <w:sz w:val="22"/>
                <w:szCs w:val="22"/>
              </w:rPr>
              <w:t>2078.73</w:t>
            </w:r>
          </w:p>
        </w:tc>
        <w:tc>
          <w:tcPr>
            <w:tcW w:w="3123"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617" w:type="dxa"/>
            <w:gridSpan w:val="2"/>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r>
              <w:rPr>
                <w:rFonts w:hint="eastAsia" w:ascii="宋体" w:hAnsi="宋体" w:cs="宋体"/>
                <w:color w:val="000000"/>
                <w:kern w:val="0"/>
                <w:sz w:val="22"/>
                <w:szCs w:val="22"/>
              </w:rPr>
              <w:t>1846.29</w:t>
            </w: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left="105" w:leftChars="50" w:firstLine="110" w:firstLineChars="50"/>
              <w:jc w:val="left"/>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385" w:type="dxa"/>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r>
              <w:rPr>
                <w:rFonts w:hint="eastAsia" w:ascii="宋体" w:hAnsi="宋体" w:cs="宋体"/>
                <w:color w:val="000000"/>
                <w:kern w:val="0"/>
                <w:sz w:val="22"/>
                <w:szCs w:val="22"/>
              </w:rPr>
              <w:t>1284.49</w:t>
            </w:r>
          </w:p>
        </w:tc>
        <w:tc>
          <w:tcPr>
            <w:tcW w:w="3123" w:type="dxa"/>
            <w:tcBorders>
              <w:top w:val="nil"/>
              <w:left w:val="nil"/>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r>
              <w:rPr>
                <w:rFonts w:hint="eastAsia" w:ascii="宋体" w:hAnsi="宋体" w:cs="宋体"/>
                <w:color w:val="000000"/>
                <w:kern w:val="0"/>
                <w:sz w:val="22"/>
                <w:szCs w:val="22"/>
              </w:rPr>
              <w:t xml:space="preserve">  项目支出结转和结余</w:t>
            </w:r>
          </w:p>
        </w:tc>
        <w:tc>
          <w:tcPr>
            <w:tcW w:w="1617" w:type="dxa"/>
            <w:gridSpan w:val="2"/>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r>
              <w:rPr>
                <w:rFonts w:hint="eastAsia" w:ascii="宋体" w:hAnsi="宋体" w:cs="宋体"/>
                <w:color w:val="000000"/>
                <w:kern w:val="0"/>
                <w:sz w:val="22"/>
                <w:szCs w:val="22"/>
              </w:rPr>
              <w:t>1250.02</w:t>
            </w: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p>
        </w:tc>
        <w:tc>
          <w:tcPr>
            <w:tcW w:w="1385" w:type="dxa"/>
            <w:tcBorders>
              <w:top w:val="nil"/>
              <w:left w:val="nil"/>
              <w:bottom w:val="single" w:color="auto" w:sz="4" w:space="0"/>
              <w:right w:val="single" w:color="auto" w:sz="4" w:space="0"/>
            </w:tcBorders>
            <w:vAlign w:val="center"/>
          </w:tcPr>
          <w:p>
            <w:pPr>
              <w:widowControl/>
              <w:ind w:left="110" w:hanging="110"/>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ind w:left="110" w:hanging="110"/>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3015" w:type="dxa"/>
            <w:tcBorders>
              <w:top w:val="nil"/>
              <w:left w:val="single" w:color="auto" w:sz="4" w:space="0"/>
              <w:bottom w:val="single" w:color="auto" w:sz="4" w:space="0"/>
              <w:right w:val="single" w:color="auto" w:sz="4" w:space="0"/>
            </w:tcBorders>
            <w:vAlign w:val="center"/>
          </w:tcPr>
          <w:p>
            <w:pPr>
              <w:widowControl/>
              <w:ind w:left="110" w:hanging="110"/>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385" w:type="dxa"/>
            <w:tcBorders>
              <w:top w:val="nil"/>
              <w:left w:val="nil"/>
              <w:bottom w:val="single" w:color="auto" w:sz="4" w:space="0"/>
              <w:right w:val="single" w:color="auto" w:sz="4" w:space="0"/>
            </w:tcBorders>
            <w:vAlign w:val="center"/>
          </w:tcPr>
          <w:p>
            <w:pPr>
              <w:widowControl/>
              <w:ind w:left="110" w:hanging="110"/>
              <w:jc w:val="right"/>
              <w:rPr>
                <w:rFonts w:ascii="宋体" w:hAnsi="宋体" w:cs="宋体"/>
                <w:b/>
                <w:color w:val="000000"/>
                <w:kern w:val="0"/>
                <w:sz w:val="22"/>
                <w:szCs w:val="22"/>
              </w:rPr>
            </w:pPr>
            <w:r>
              <w:rPr>
                <w:rFonts w:hint="eastAsia" w:ascii="宋体" w:hAnsi="宋体" w:cs="宋体"/>
                <w:b/>
                <w:color w:val="000000"/>
                <w:kern w:val="0"/>
                <w:sz w:val="22"/>
                <w:szCs w:val="22"/>
              </w:rPr>
              <w:t>10201.19</w:t>
            </w:r>
          </w:p>
        </w:tc>
        <w:tc>
          <w:tcPr>
            <w:tcW w:w="3123" w:type="dxa"/>
            <w:tcBorders>
              <w:top w:val="nil"/>
              <w:left w:val="nil"/>
              <w:bottom w:val="single" w:color="auto" w:sz="4" w:space="0"/>
              <w:right w:val="single" w:color="auto" w:sz="4" w:space="0"/>
            </w:tcBorders>
            <w:vAlign w:val="center"/>
          </w:tcPr>
          <w:p>
            <w:pPr>
              <w:widowControl/>
              <w:ind w:left="110" w:hanging="110"/>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ind w:left="110" w:hanging="110"/>
              <w:jc w:val="right"/>
              <w:rPr>
                <w:rFonts w:ascii="宋体" w:hAnsi="宋体" w:cs="宋体"/>
                <w:b/>
                <w:color w:val="000000"/>
                <w:kern w:val="0"/>
                <w:sz w:val="22"/>
                <w:szCs w:val="22"/>
              </w:rPr>
            </w:pPr>
            <w:r>
              <w:rPr>
                <w:rFonts w:hint="eastAsia" w:ascii="宋体" w:hAnsi="宋体" w:cs="宋体"/>
                <w:b/>
                <w:color w:val="000000"/>
                <w:kern w:val="0"/>
                <w:sz w:val="22"/>
                <w:szCs w:val="22"/>
              </w:rPr>
              <w:t>10201.19</w:t>
            </w:r>
          </w:p>
        </w:tc>
      </w:tr>
    </w:tbl>
    <w:p>
      <w:pPr>
        <w:ind w:firstLine="105" w:firstLineChars="50"/>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wordWrap w:val="0"/>
        <w:jc w:val="right"/>
        <w:rPr>
          <w:sz w:val="22"/>
          <w:szCs w:val="22"/>
        </w:rPr>
      </w:pPr>
      <w:r>
        <w:rPr>
          <w:rFonts w:hint="eastAsia"/>
          <w:sz w:val="22"/>
          <w:szCs w:val="22"/>
        </w:rPr>
        <w:t xml:space="preserve">单位：万元      </w:t>
      </w:r>
    </w:p>
    <w:tbl>
      <w:tblPr>
        <w:tblStyle w:val="6"/>
        <w:tblW w:w="14140" w:type="dxa"/>
        <w:jc w:val="center"/>
        <w:tblLayout w:type="fixed"/>
        <w:tblCellMar>
          <w:top w:w="0" w:type="dxa"/>
          <w:left w:w="108" w:type="dxa"/>
          <w:bottom w:w="0" w:type="dxa"/>
          <w:right w:w="108" w:type="dxa"/>
        </w:tblCellMar>
      </w:tblPr>
      <w:tblGrid>
        <w:gridCol w:w="1036"/>
        <w:gridCol w:w="2324"/>
        <w:gridCol w:w="1540"/>
        <w:gridCol w:w="1540"/>
        <w:gridCol w:w="1540"/>
        <w:gridCol w:w="1456"/>
        <w:gridCol w:w="1624"/>
        <w:gridCol w:w="1540"/>
        <w:gridCol w:w="1540"/>
      </w:tblGrid>
      <w:tr>
        <w:tblPrEx>
          <w:tblCellMar>
            <w:top w:w="0" w:type="dxa"/>
            <w:left w:w="108" w:type="dxa"/>
            <w:bottom w:w="0" w:type="dxa"/>
            <w:right w:w="108" w:type="dxa"/>
          </w:tblCellMar>
        </w:tblPrEx>
        <w:trPr>
          <w:trHeight w:val="288" w:hRule="atLeast"/>
          <w:tblHeader/>
          <w:jc w:val="center"/>
        </w:trPr>
        <w:tc>
          <w:tcPr>
            <w:tcW w:w="3360"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4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162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tblHeader/>
          <w:jc w:val="center"/>
        </w:trPr>
        <w:tc>
          <w:tcPr>
            <w:tcW w:w="1036"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科目编码</w:t>
            </w:r>
          </w:p>
        </w:tc>
        <w:tc>
          <w:tcPr>
            <w:tcW w:w="232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45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624"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6837.97</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6765.75</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2.96</w:t>
            </w: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69.26</w:t>
            </w: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w:t>
            </w:r>
          </w:p>
        </w:tc>
        <w:tc>
          <w:tcPr>
            <w:tcW w:w="2324" w:type="dxa"/>
            <w:tcBorders>
              <w:top w:val="nil"/>
              <w:left w:val="nil"/>
              <w:bottom w:val="single" w:color="auto" w:sz="4" w:space="0"/>
              <w:right w:val="single" w:color="auto" w:sz="4" w:space="0"/>
            </w:tcBorders>
            <w:vAlign w:val="center"/>
          </w:tcPr>
          <w:p>
            <w:pPr>
              <w:rPr>
                <w:rFonts w:ascii="宋体" w:hAnsi="宋体" w:cs="Arial"/>
                <w:b/>
                <w:color w:val="000000"/>
                <w:sz w:val="22"/>
                <w:szCs w:val="22"/>
              </w:rPr>
            </w:pPr>
            <w:r>
              <w:rPr>
                <w:rFonts w:hint="eastAsia" w:cs="Arial"/>
                <w:b/>
                <w:color w:val="000000"/>
                <w:sz w:val="22"/>
                <w:szCs w:val="22"/>
              </w:rPr>
              <w:t>一般公共服务支出</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5308.02</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5249.64</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2.96</w:t>
            </w: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55.42</w:t>
            </w: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w:t>
            </w:r>
          </w:p>
        </w:tc>
        <w:tc>
          <w:tcPr>
            <w:tcW w:w="2324"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财政事务</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5308.02</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5249.64</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2.96</w:t>
            </w: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55.42</w:t>
            </w: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2010601</w:t>
            </w:r>
          </w:p>
        </w:tc>
        <w:tc>
          <w:tcPr>
            <w:tcW w:w="2324"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540"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2570.03</w:t>
            </w:r>
          </w:p>
        </w:tc>
        <w:tc>
          <w:tcPr>
            <w:tcW w:w="1540"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2570.03</w:t>
            </w:r>
          </w:p>
        </w:tc>
        <w:tc>
          <w:tcPr>
            <w:tcW w:w="1540" w:type="dxa"/>
            <w:tcBorders>
              <w:top w:val="nil"/>
              <w:left w:val="nil"/>
              <w:bottom w:val="single" w:color="auto" w:sz="4" w:space="0"/>
              <w:right w:val="single" w:color="auto" w:sz="4" w:space="0"/>
            </w:tcBorders>
            <w:vAlign w:val="center"/>
          </w:tcPr>
          <w:p>
            <w:pPr>
              <w:jc w:val="right"/>
              <w:rPr>
                <w:color w:val="000000"/>
                <w:sz w:val="22"/>
                <w:szCs w:val="22"/>
              </w:rPr>
            </w:pPr>
          </w:p>
        </w:tc>
        <w:tc>
          <w:tcPr>
            <w:tcW w:w="1456" w:type="dxa"/>
            <w:tcBorders>
              <w:top w:val="nil"/>
              <w:left w:val="nil"/>
              <w:bottom w:val="single" w:color="auto" w:sz="4" w:space="0"/>
              <w:right w:val="single" w:color="auto" w:sz="4" w:space="0"/>
            </w:tcBorders>
            <w:vAlign w:val="center"/>
          </w:tcPr>
          <w:p>
            <w:pPr>
              <w:jc w:val="right"/>
              <w:rPr>
                <w:color w:val="000000"/>
                <w:sz w:val="22"/>
                <w:szCs w:val="22"/>
              </w:rPr>
            </w:pPr>
          </w:p>
        </w:tc>
        <w:tc>
          <w:tcPr>
            <w:tcW w:w="1624" w:type="dxa"/>
            <w:tcBorders>
              <w:top w:val="nil"/>
              <w:left w:val="nil"/>
              <w:bottom w:val="single" w:color="auto" w:sz="4" w:space="0"/>
              <w:right w:val="single" w:color="auto" w:sz="4" w:space="0"/>
            </w:tcBorders>
            <w:vAlign w:val="center"/>
          </w:tcPr>
          <w:p>
            <w:pPr>
              <w:jc w:val="right"/>
              <w:rPr>
                <w:color w:val="000000"/>
                <w:sz w:val="22"/>
                <w:szCs w:val="22"/>
              </w:rPr>
            </w:pPr>
          </w:p>
        </w:tc>
        <w:tc>
          <w:tcPr>
            <w:tcW w:w="1540" w:type="dxa"/>
            <w:tcBorders>
              <w:top w:val="nil"/>
              <w:left w:val="nil"/>
              <w:bottom w:val="single" w:color="auto" w:sz="4" w:space="0"/>
              <w:right w:val="single" w:color="auto" w:sz="4" w:space="0"/>
            </w:tcBorders>
            <w:vAlign w:val="center"/>
          </w:tcPr>
          <w:p>
            <w:pPr>
              <w:jc w:val="right"/>
              <w:rPr>
                <w:color w:val="000000"/>
                <w:sz w:val="22"/>
                <w:szCs w:val="22"/>
              </w:rPr>
            </w:pPr>
          </w:p>
        </w:tc>
        <w:tc>
          <w:tcPr>
            <w:tcW w:w="1540"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2010602</w:t>
            </w:r>
          </w:p>
        </w:tc>
        <w:tc>
          <w:tcPr>
            <w:tcW w:w="2324"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一般行政管理事务</w:t>
            </w:r>
          </w:p>
        </w:tc>
        <w:tc>
          <w:tcPr>
            <w:tcW w:w="1540"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784.41</w:t>
            </w:r>
          </w:p>
        </w:tc>
        <w:tc>
          <w:tcPr>
            <w:tcW w:w="1540"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784.41</w:t>
            </w:r>
          </w:p>
        </w:tc>
        <w:tc>
          <w:tcPr>
            <w:tcW w:w="1540" w:type="dxa"/>
            <w:tcBorders>
              <w:top w:val="nil"/>
              <w:left w:val="nil"/>
              <w:bottom w:val="single" w:color="auto" w:sz="4" w:space="0"/>
              <w:right w:val="single" w:color="auto" w:sz="4" w:space="0"/>
            </w:tcBorders>
            <w:vAlign w:val="center"/>
          </w:tcPr>
          <w:p>
            <w:pPr>
              <w:jc w:val="right"/>
              <w:rPr>
                <w:color w:val="000000"/>
                <w:sz w:val="22"/>
                <w:szCs w:val="22"/>
              </w:rPr>
            </w:pPr>
          </w:p>
        </w:tc>
        <w:tc>
          <w:tcPr>
            <w:tcW w:w="1456" w:type="dxa"/>
            <w:tcBorders>
              <w:top w:val="nil"/>
              <w:left w:val="nil"/>
              <w:bottom w:val="single" w:color="auto" w:sz="4" w:space="0"/>
              <w:right w:val="single" w:color="auto" w:sz="4" w:space="0"/>
            </w:tcBorders>
            <w:vAlign w:val="center"/>
          </w:tcPr>
          <w:p>
            <w:pPr>
              <w:jc w:val="right"/>
              <w:rPr>
                <w:color w:val="000000"/>
                <w:sz w:val="22"/>
                <w:szCs w:val="22"/>
              </w:rPr>
            </w:pPr>
          </w:p>
        </w:tc>
        <w:tc>
          <w:tcPr>
            <w:tcW w:w="1624" w:type="dxa"/>
            <w:tcBorders>
              <w:top w:val="nil"/>
              <w:left w:val="nil"/>
              <w:bottom w:val="single" w:color="auto" w:sz="4" w:space="0"/>
              <w:right w:val="single" w:color="auto" w:sz="4" w:space="0"/>
            </w:tcBorders>
            <w:vAlign w:val="center"/>
          </w:tcPr>
          <w:p>
            <w:pPr>
              <w:jc w:val="right"/>
              <w:rPr>
                <w:color w:val="000000"/>
                <w:sz w:val="22"/>
                <w:szCs w:val="22"/>
              </w:rPr>
            </w:pPr>
          </w:p>
        </w:tc>
        <w:tc>
          <w:tcPr>
            <w:tcW w:w="1540" w:type="dxa"/>
            <w:tcBorders>
              <w:top w:val="nil"/>
              <w:left w:val="nil"/>
              <w:bottom w:val="single" w:color="auto" w:sz="4" w:space="0"/>
              <w:right w:val="single" w:color="auto" w:sz="4" w:space="0"/>
            </w:tcBorders>
            <w:vAlign w:val="center"/>
          </w:tcPr>
          <w:p>
            <w:pPr>
              <w:jc w:val="right"/>
              <w:rPr>
                <w:color w:val="000000"/>
                <w:sz w:val="22"/>
                <w:szCs w:val="22"/>
              </w:rPr>
            </w:pPr>
          </w:p>
        </w:tc>
        <w:tc>
          <w:tcPr>
            <w:tcW w:w="1540"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2010605</w:t>
            </w:r>
          </w:p>
        </w:tc>
        <w:tc>
          <w:tcPr>
            <w:tcW w:w="2324"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财政国库业务</w:t>
            </w:r>
          </w:p>
        </w:tc>
        <w:tc>
          <w:tcPr>
            <w:tcW w:w="1540"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1006.38</w:t>
            </w:r>
          </w:p>
        </w:tc>
        <w:tc>
          <w:tcPr>
            <w:tcW w:w="1540"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1006.38</w:t>
            </w:r>
          </w:p>
        </w:tc>
        <w:tc>
          <w:tcPr>
            <w:tcW w:w="1540" w:type="dxa"/>
            <w:tcBorders>
              <w:top w:val="nil"/>
              <w:left w:val="nil"/>
              <w:bottom w:val="single" w:color="auto" w:sz="4" w:space="0"/>
              <w:right w:val="single" w:color="auto" w:sz="4" w:space="0"/>
            </w:tcBorders>
            <w:vAlign w:val="center"/>
          </w:tcPr>
          <w:p>
            <w:pPr>
              <w:jc w:val="right"/>
              <w:rPr>
                <w:color w:val="000000"/>
                <w:sz w:val="22"/>
                <w:szCs w:val="22"/>
              </w:rPr>
            </w:pPr>
          </w:p>
        </w:tc>
        <w:tc>
          <w:tcPr>
            <w:tcW w:w="1456" w:type="dxa"/>
            <w:tcBorders>
              <w:top w:val="nil"/>
              <w:left w:val="nil"/>
              <w:bottom w:val="single" w:color="auto" w:sz="4" w:space="0"/>
              <w:right w:val="single" w:color="auto" w:sz="4" w:space="0"/>
            </w:tcBorders>
            <w:vAlign w:val="center"/>
          </w:tcPr>
          <w:p>
            <w:pPr>
              <w:jc w:val="right"/>
              <w:rPr>
                <w:color w:val="000000"/>
                <w:sz w:val="22"/>
                <w:szCs w:val="22"/>
              </w:rPr>
            </w:pPr>
          </w:p>
        </w:tc>
        <w:tc>
          <w:tcPr>
            <w:tcW w:w="1624" w:type="dxa"/>
            <w:tcBorders>
              <w:top w:val="nil"/>
              <w:left w:val="nil"/>
              <w:bottom w:val="single" w:color="auto" w:sz="4" w:space="0"/>
              <w:right w:val="single" w:color="auto" w:sz="4" w:space="0"/>
            </w:tcBorders>
            <w:vAlign w:val="center"/>
          </w:tcPr>
          <w:p>
            <w:pPr>
              <w:jc w:val="right"/>
              <w:rPr>
                <w:color w:val="000000"/>
                <w:sz w:val="22"/>
                <w:szCs w:val="22"/>
              </w:rPr>
            </w:pPr>
          </w:p>
        </w:tc>
        <w:tc>
          <w:tcPr>
            <w:tcW w:w="1540" w:type="dxa"/>
            <w:tcBorders>
              <w:top w:val="nil"/>
              <w:left w:val="nil"/>
              <w:bottom w:val="single" w:color="auto" w:sz="4" w:space="0"/>
              <w:right w:val="single" w:color="auto" w:sz="4" w:space="0"/>
            </w:tcBorders>
            <w:vAlign w:val="center"/>
          </w:tcPr>
          <w:p>
            <w:pPr>
              <w:jc w:val="right"/>
              <w:rPr>
                <w:color w:val="000000"/>
                <w:sz w:val="22"/>
                <w:szCs w:val="22"/>
              </w:rPr>
            </w:pPr>
          </w:p>
        </w:tc>
        <w:tc>
          <w:tcPr>
            <w:tcW w:w="1540"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2010650</w:t>
            </w:r>
          </w:p>
        </w:tc>
        <w:tc>
          <w:tcPr>
            <w:tcW w:w="2324"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事业运行</w:t>
            </w:r>
          </w:p>
        </w:tc>
        <w:tc>
          <w:tcPr>
            <w:tcW w:w="1540"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665.19</w:t>
            </w:r>
          </w:p>
        </w:tc>
        <w:tc>
          <w:tcPr>
            <w:tcW w:w="1540"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664.96</w:t>
            </w:r>
          </w:p>
        </w:tc>
        <w:tc>
          <w:tcPr>
            <w:tcW w:w="1540" w:type="dxa"/>
            <w:tcBorders>
              <w:top w:val="nil"/>
              <w:left w:val="nil"/>
              <w:bottom w:val="single" w:color="auto" w:sz="4" w:space="0"/>
              <w:right w:val="single" w:color="auto" w:sz="4" w:space="0"/>
            </w:tcBorders>
            <w:vAlign w:val="center"/>
          </w:tcPr>
          <w:p>
            <w:pPr>
              <w:jc w:val="right"/>
              <w:rPr>
                <w:color w:val="000000"/>
                <w:sz w:val="22"/>
                <w:szCs w:val="22"/>
              </w:rPr>
            </w:pPr>
          </w:p>
        </w:tc>
        <w:tc>
          <w:tcPr>
            <w:tcW w:w="1456" w:type="dxa"/>
            <w:tcBorders>
              <w:top w:val="nil"/>
              <w:left w:val="nil"/>
              <w:bottom w:val="single" w:color="auto" w:sz="4" w:space="0"/>
              <w:right w:val="single" w:color="auto" w:sz="4" w:space="0"/>
            </w:tcBorders>
            <w:vAlign w:val="center"/>
          </w:tcPr>
          <w:p>
            <w:pPr>
              <w:jc w:val="right"/>
              <w:rPr>
                <w:color w:val="000000"/>
                <w:sz w:val="22"/>
                <w:szCs w:val="22"/>
              </w:rPr>
            </w:pPr>
          </w:p>
        </w:tc>
        <w:tc>
          <w:tcPr>
            <w:tcW w:w="1624" w:type="dxa"/>
            <w:tcBorders>
              <w:top w:val="nil"/>
              <w:left w:val="nil"/>
              <w:bottom w:val="single" w:color="auto" w:sz="4" w:space="0"/>
              <w:right w:val="single" w:color="auto" w:sz="4" w:space="0"/>
            </w:tcBorders>
            <w:vAlign w:val="center"/>
          </w:tcPr>
          <w:p>
            <w:pPr>
              <w:jc w:val="right"/>
              <w:rPr>
                <w:color w:val="000000"/>
                <w:sz w:val="22"/>
                <w:szCs w:val="22"/>
              </w:rPr>
            </w:pPr>
          </w:p>
        </w:tc>
        <w:tc>
          <w:tcPr>
            <w:tcW w:w="1540" w:type="dxa"/>
            <w:tcBorders>
              <w:top w:val="nil"/>
              <w:left w:val="nil"/>
              <w:bottom w:val="single" w:color="auto" w:sz="4" w:space="0"/>
              <w:right w:val="single" w:color="auto" w:sz="4" w:space="0"/>
            </w:tcBorders>
            <w:vAlign w:val="center"/>
          </w:tcPr>
          <w:p>
            <w:pPr>
              <w:jc w:val="right"/>
              <w:rPr>
                <w:color w:val="000000"/>
                <w:sz w:val="22"/>
                <w:szCs w:val="22"/>
              </w:rPr>
            </w:pPr>
          </w:p>
        </w:tc>
        <w:tc>
          <w:tcPr>
            <w:tcW w:w="1540"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0.23</w:t>
            </w: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2010699</w:t>
            </w:r>
          </w:p>
        </w:tc>
        <w:tc>
          <w:tcPr>
            <w:tcW w:w="2324"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其他财政事务支出</w:t>
            </w:r>
          </w:p>
        </w:tc>
        <w:tc>
          <w:tcPr>
            <w:tcW w:w="1540"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282.01</w:t>
            </w:r>
          </w:p>
        </w:tc>
        <w:tc>
          <w:tcPr>
            <w:tcW w:w="1540"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223.86</w:t>
            </w:r>
          </w:p>
        </w:tc>
        <w:tc>
          <w:tcPr>
            <w:tcW w:w="1540"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2.96</w:t>
            </w:r>
          </w:p>
        </w:tc>
        <w:tc>
          <w:tcPr>
            <w:tcW w:w="1456" w:type="dxa"/>
            <w:tcBorders>
              <w:top w:val="nil"/>
              <w:left w:val="nil"/>
              <w:bottom w:val="single" w:color="auto" w:sz="4" w:space="0"/>
              <w:right w:val="single" w:color="auto" w:sz="4" w:space="0"/>
            </w:tcBorders>
            <w:vAlign w:val="center"/>
          </w:tcPr>
          <w:p>
            <w:pPr>
              <w:jc w:val="right"/>
              <w:rPr>
                <w:color w:val="000000"/>
                <w:sz w:val="22"/>
                <w:szCs w:val="22"/>
              </w:rPr>
            </w:pPr>
          </w:p>
        </w:tc>
        <w:tc>
          <w:tcPr>
            <w:tcW w:w="1624" w:type="dxa"/>
            <w:tcBorders>
              <w:top w:val="nil"/>
              <w:left w:val="nil"/>
              <w:bottom w:val="single" w:color="auto" w:sz="4" w:space="0"/>
              <w:right w:val="single" w:color="auto" w:sz="4" w:space="0"/>
            </w:tcBorders>
            <w:vAlign w:val="center"/>
          </w:tcPr>
          <w:p>
            <w:pPr>
              <w:jc w:val="right"/>
              <w:rPr>
                <w:color w:val="000000"/>
                <w:sz w:val="22"/>
                <w:szCs w:val="22"/>
              </w:rPr>
            </w:pPr>
          </w:p>
        </w:tc>
        <w:tc>
          <w:tcPr>
            <w:tcW w:w="1540" w:type="dxa"/>
            <w:tcBorders>
              <w:top w:val="nil"/>
              <w:left w:val="nil"/>
              <w:bottom w:val="single" w:color="auto" w:sz="4" w:space="0"/>
              <w:right w:val="single" w:color="auto" w:sz="4" w:space="0"/>
            </w:tcBorders>
            <w:vAlign w:val="center"/>
          </w:tcPr>
          <w:p>
            <w:pPr>
              <w:jc w:val="right"/>
              <w:rPr>
                <w:color w:val="000000"/>
                <w:sz w:val="22"/>
                <w:szCs w:val="22"/>
              </w:rPr>
            </w:pPr>
          </w:p>
        </w:tc>
        <w:tc>
          <w:tcPr>
            <w:tcW w:w="1540"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55.19</w:t>
            </w: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w:t>
            </w:r>
          </w:p>
        </w:tc>
        <w:tc>
          <w:tcPr>
            <w:tcW w:w="2324" w:type="dxa"/>
            <w:tcBorders>
              <w:top w:val="nil"/>
              <w:left w:val="nil"/>
              <w:bottom w:val="single" w:color="auto" w:sz="4" w:space="0"/>
              <w:right w:val="single" w:color="auto" w:sz="4" w:space="0"/>
            </w:tcBorders>
            <w:vAlign w:val="center"/>
          </w:tcPr>
          <w:p>
            <w:pPr>
              <w:rPr>
                <w:rFonts w:ascii="宋体" w:hAnsi="宋体" w:cs="Arial"/>
                <w:b/>
                <w:color w:val="000000"/>
                <w:sz w:val="22"/>
                <w:szCs w:val="22"/>
              </w:rPr>
            </w:pPr>
            <w:r>
              <w:rPr>
                <w:rFonts w:hint="eastAsia" w:cs="Arial"/>
                <w:b/>
                <w:color w:val="000000"/>
                <w:sz w:val="22"/>
                <w:szCs w:val="22"/>
              </w:rPr>
              <w:t>社会保障和就业支出</w:t>
            </w:r>
          </w:p>
        </w:tc>
        <w:tc>
          <w:tcPr>
            <w:tcW w:w="1540"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521.29</w:t>
            </w:r>
          </w:p>
        </w:tc>
        <w:tc>
          <w:tcPr>
            <w:tcW w:w="1540"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521.29</w:t>
            </w:r>
          </w:p>
        </w:tc>
        <w:tc>
          <w:tcPr>
            <w:tcW w:w="1540" w:type="dxa"/>
            <w:tcBorders>
              <w:top w:val="nil"/>
              <w:left w:val="nil"/>
              <w:bottom w:val="single" w:color="auto" w:sz="4" w:space="0"/>
              <w:right w:val="single" w:color="auto" w:sz="4" w:space="0"/>
            </w:tcBorders>
            <w:vAlign w:val="center"/>
          </w:tcPr>
          <w:p>
            <w:pPr>
              <w:jc w:val="right"/>
              <w:rPr>
                <w:color w:val="000000"/>
                <w:sz w:val="22"/>
                <w:szCs w:val="22"/>
              </w:rPr>
            </w:pPr>
          </w:p>
        </w:tc>
        <w:tc>
          <w:tcPr>
            <w:tcW w:w="1456" w:type="dxa"/>
            <w:tcBorders>
              <w:top w:val="nil"/>
              <w:left w:val="nil"/>
              <w:bottom w:val="single" w:color="auto" w:sz="4" w:space="0"/>
              <w:right w:val="single" w:color="auto" w:sz="4" w:space="0"/>
            </w:tcBorders>
            <w:vAlign w:val="center"/>
          </w:tcPr>
          <w:p>
            <w:pPr>
              <w:jc w:val="right"/>
              <w:rPr>
                <w:color w:val="000000"/>
                <w:sz w:val="22"/>
                <w:szCs w:val="22"/>
              </w:rPr>
            </w:pPr>
          </w:p>
        </w:tc>
        <w:tc>
          <w:tcPr>
            <w:tcW w:w="1624" w:type="dxa"/>
            <w:tcBorders>
              <w:top w:val="nil"/>
              <w:left w:val="nil"/>
              <w:bottom w:val="single" w:color="auto" w:sz="4" w:space="0"/>
              <w:right w:val="single" w:color="auto" w:sz="4" w:space="0"/>
            </w:tcBorders>
            <w:vAlign w:val="center"/>
          </w:tcPr>
          <w:p>
            <w:pPr>
              <w:jc w:val="right"/>
              <w:rPr>
                <w:color w:val="000000"/>
                <w:sz w:val="22"/>
                <w:szCs w:val="22"/>
              </w:rPr>
            </w:pPr>
          </w:p>
        </w:tc>
        <w:tc>
          <w:tcPr>
            <w:tcW w:w="1540" w:type="dxa"/>
            <w:tcBorders>
              <w:top w:val="nil"/>
              <w:left w:val="nil"/>
              <w:bottom w:val="single" w:color="auto" w:sz="4" w:space="0"/>
              <w:right w:val="single" w:color="auto" w:sz="4" w:space="0"/>
            </w:tcBorders>
            <w:vAlign w:val="center"/>
          </w:tcPr>
          <w:p>
            <w:pPr>
              <w:jc w:val="right"/>
              <w:rPr>
                <w:color w:val="000000"/>
                <w:sz w:val="22"/>
                <w:szCs w:val="22"/>
              </w:rPr>
            </w:pPr>
          </w:p>
        </w:tc>
        <w:tc>
          <w:tcPr>
            <w:tcW w:w="1540"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w:t>
            </w:r>
          </w:p>
        </w:tc>
        <w:tc>
          <w:tcPr>
            <w:tcW w:w="2324"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行政事业单位离退休</w:t>
            </w:r>
          </w:p>
        </w:tc>
        <w:tc>
          <w:tcPr>
            <w:tcW w:w="1540"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521.29</w:t>
            </w:r>
          </w:p>
        </w:tc>
        <w:tc>
          <w:tcPr>
            <w:tcW w:w="1540"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521.29</w:t>
            </w:r>
          </w:p>
        </w:tc>
        <w:tc>
          <w:tcPr>
            <w:tcW w:w="1540" w:type="dxa"/>
            <w:tcBorders>
              <w:top w:val="nil"/>
              <w:left w:val="nil"/>
              <w:bottom w:val="single" w:color="auto" w:sz="4" w:space="0"/>
              <w:right w:val="single" w:color="auto" w:sz="4" w:space="0"/>
            </w:tcBorders>
            <w:vAlign w:val="center"/>
          </w:tcPr>
          <w:p>
            <w:pPr>
              <w:jc w:val="right"/>
              <w:rPr>
                <w:color w:val="000000"/>
                <w:sz w:val="22"/>
                <w:szCs w:val="22"/>
              </w:rPr>
            </w:pPr>
          </w:p>
        </w:tc>
        <w:tc>
          <w:tcPr>
            <w:tcW w:w="1456" w:type="dxa"/>
            <w:tcBorders>
              <w:top w:val="nil"/>
              <w:left w:val="nil"/>
              <w:bottom w:val="single" w:color="auto" w:sz="4" w:space="0"/>
              <w:right w:val="single" w:color="auto" w:sz="4" w:space="0"/>
            </w:tcBorders>
            <w:vAlign w:val="center"/>
          </w:tcPr>
          <w:p>
            <w:pPr>
              <w:jc w:val="right"/>
              <w:rPr>
                <w:color w:val="000000"/>
                <w:sz w:val="22"/>
                <w:szCs w:val="22"/>
              </w:rPr>
            </w:pPr>
          </w:p>
        </w:tc>
        <w:tc>
          <w:tcPr>
            <w:tcW w:w="1624" w:type="dxa"/>
            <w:tcBorders>
              <w:top w:val="nil"/>
              <w:left w:val="nil"/>
              <w:bottom w:val="single" w:color="auto" w:sz="4" w:space="0"/>
              <w:right w:val="single" w:color="auto" w:sz="4" w:space="0"/>
            </w:tcBorders>
            <w:vAlign w:val="center"/>
          </w:tcPr>
          <w:p>
            <w:pPr>
              <w:jc w:val="right"/>
              <w:rPr>
                <w:color w:val="000000"/>
                <w:sz w:val="22"/>
                <w:szCs w:val="22"/>
              </w:rPr>
            </w:pPr>
          </w:p>
        </w:tc>
        <w:tc>
          <w:tcPr>
            <w:tcW w:w="1540" w:type="dxa"/>
            <w:tcBorders>
              <w:top w:val="nil"/>
              <w:left w:val="nil"/>
              <w:bottom w:val="single" w:color="auto" w:sz="4" w:space="0"/>
              <w:right w:val="single" w:color="auto" w:sz="4" w:space="0"/>
            </w:tcBorders>
            <w:vAlign w:val="center"/>
          </w:tcPr>
          <w:p>
            <w:pPr>
              <w:jc w:val="right"/>
              <w:rPr>
                <w:color w:val="000000"/>
                <w:sz w:val="22"/>
                <w:szCs w:val="22"/>
              </w:rPr>
            </w:pPr>
          </w:p>
        </w:tc>
        <w:tc>
          <w:tcPr>
            <w:tcW w:w="1540"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2080501</w:t>
            </w:r>
          </w:p>
        </w:tc>
        <w:tc>
          <w:tcPr>
            <w:tcW w:w="2324"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归口管理的行政单位离退休</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101.92</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101.92</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2080502</w:t>
            </w:r>
          </w:p>
        </w:tc>
        <w:tc>
          <w:tcPr>
            <w:tcW w:w="2324" w:type="dxa"/>
            <w:tcBorders>
              <w:top w:val="nil"/>
              <w:left w:val="nil"/>
              <w:bottom w:val="single" w:color="auto" w:sz="4" w:space="0"/>
              <w:right w:val="single" w:color="auto" w:sz="4" w:space="0"/>
            </w:tcBorders>
            <w:vAlign w:val="center"/>
          </w:tcPr>
          <w:p>
            <w:pPr>
              <w:ind w:firstLine="220" w:firstLineChars="100"/>
              <w:rPr>
                <w:rFonts w:cs="Arial"/>
                <w:color w:val="000000"/>
                <w:sz w:val="22"/>
                <w:szCs w:val="22"/>
              </w:rPr>
            </w:pPr>
            <w:r>
              <w:rPr>
                <w:rFonts w:hint="eastAsia" w:cs="Arial"/>
                <w:color w:val="000000"/>
                <w:sz w:val="22"/>
                <w:szCs w:val="22"/>
              </w:rPr>
              <w:t>事业单位离退休</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23.24</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23.24</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2080505</w:t>
            </w:r>
          </w:p>
        </w:tc>
        <w:tc>
          <w:tcPr>
            <w:tcW w:w="2324" w:type="dxa"/>
            <w:tcBorders>
              <w:top w:val="nil"/>
              <w:left w:val="nil"/>
              <w:bottom w:val="single" w:color="auto" w:sz="4" w:space="0"/>
              <w:right w:val="single" w:color="auto" w:sz="4" w:space="0"/>
            </w:tcBorders>
            <w:vAlign w:val="center"/>
          </w:tcPr>
          <w:p>
            <w:pPr>
              <w:ind w:firstLine="220" w:firstLineChars="100"/>
              <w:rPr>
                <w:rFonts w:cs="Arial"/>
                <w:b/>
                <w:color w:val="000000"/>
                <w:sz w:val="22"/>
                <w:szCs w:val="22"/>
              </w:rPr>
            </w:pPr>
            <w:r>
              <w:rPr>
                <w:rFonts w:hint="eastAsia" w:cs="Arial"/>
                <w:bCs/>
                <w:color w:val="000000"/>
                <w:sz w:val="22"/>
                <w:szCs w:val="22"/>
              </w:rPr>
              <w:t>机关事业单位基本养老保险缴费支出</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396.13</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396.13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210</w:t>
            </w:r>
          </w:p>
        </w:tc>
        <w:tc>
          <w:tcPr>
            <w:tcW w:w="2324" w:type="dxa"/>
            <w:tcBorders>
              <w:top w:val="nil"/>
              <w:left w:val="nil"/>
              <w:bottom w:val="single" w:color="auto" w:sz="4" w:space="0"/>
              <w:right w:val="single" w:color="auto" w:sz="4" w:space="0"/>
            </w:tcBorders>
            <w:vAlign w:val="center"/>
          </w:tcPr>
          <w:p>
            <w:pPr>
              <w:rPr>
                <w:rFonts w:cs="Arial"/>
                <w:b/>
                <w:color w:val="000000"/>
                <w:sz w:val="18"/>
                <w:szCs w:val="18"/>
              </w:rPr>
            </w:pPr>
            <w:r>
              <w:rPr>
                <w:rFonts w:hint="eastAsia" w:cs="Arial"/>
                <w:b/>
                <w:color w:val="000000"/>
                <w:sz w:val="18"/>
                <w:szCs w:val="18"/>
              </w:rPr>
              <w:t>医疗卫生与计划生育支出</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205.87</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205.87</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21011</w:t>
            </w:r>
          </w:p>
        </w:tc>
        <w:tc>
          <w:tcPr>
            <w:tcW w:w="2324"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ascii="宋体" w:hAnsi="宋体" w:cs="宋体"/>
                <w:color w:val="000000"/>
                <w:sz w:val="22"/>
                <w:szCs w:val="22"/>
              </w:rPr>
              <w:t>行政事业单位医疗</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205.87</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205.87</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2101101</w:t>
            </w:r>
          </w:p>
        </w:tc>
        <w:tc>
          <w:tcPr>
            <w:tcW w:w="2324" w:type="dxa"/>
            <w:tcBorders>
              <w:top w:val="nil"/>
              <w:left w:val="nil"/>
              <w:bottom w:val="single" w:color="auto" w:sz="4" w:space="0"/>
              <w:right w:val="single" w:color="auto" w:sz="4" w:space="0"/>
            </w:tcBorders>
            <w:vAlign w:val="center"/>
          </w:tcPr>
          <w:p>
            <w:pPr>
              <w:ind w:firstLine="220" w:firstLineChars="100"/>
              <w:rPr>
                <w:rFonts w:ascii="宋体" w:hAnsi="宋体" w:cs="宋体"/>
                <w:color w:val="000000"/>
                <w:sz w:val="22"/>
                <w:szCs w:val="22"/>
              </w:rPr>
            </w:pPr>
            <w:r>
              <w:rPr>
                <w:rFonts w:hint="eastAsia" w:ascii="宋体" w:hAnsi="宋体" w:cs="宋体"/>
                <w:color w:val="000000"/>
                <w:sz w:val="22"/>
                <w:szCs w:val="22"/>
              </w:rPr>
              <w:t>行政单位医疗</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133.36</w:t>
            </w:r>
          </w:p>
        </w:tc>
        <w:tc>
          <w:tcPr>
            <w:tcW w:w="154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133.36</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2101102</w:t>
            </w:r>
          </w:p>
        </w:tc>
        <w:tc>
          <w:tcPr>
            <w:tcW w:w="2324" w:type="dxa"/>
            <w:tcBorders>
              <w:top w:val="nil"/>
              <w:left w:val="nil"/>
              <w:bottom w:val="single" w:color="auto" w:sz="4" w:space="0"/>
              <w:right w:val="single" w:color="auto" w:sz="4" w:space="0"/>
            </w:tcBorders>
            <w:vAlign w:val="center"/>
          </w:tcPr>
          <w:p>
            <w:pPr>
              <w:ind w:firstLine="220" w:firstLineChars="100"/>
              <w:rPr>
                <w:rFonts w:ascii="宋体" w:hAnsi="宋体" w:cs="宋体"/>
                <w:color w:val="000000"/>
                <w:sz w:val="22"/>
                <w:szCs w:val="22"/>
              </w:rPr>
            </w:pPr>
            <w:r>
              <w:rPr>
                <w:rFonts w:hint="eastAsia" w:ascii="宋体" w:hAnsi="宋体" w:cs="宋体"/>
                <w:color w:val="000000"/>
                <w:sz w:val="22"/>
                <w:szCs w:val="22"/>
              </w:rPr>
              <w:t>事业单位医疗</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12.15</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12.15</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2101103</w:t>
            </w:r>
          </w:p>
        </w:tc>
        <w:tc>
          <w:tcPr>
            <w:tcW w:w="2324" w:type="dxa"/>
            <w:tcBorders>
              <w:top w:val="nil"/>
              <w:left w:val="nil"/>
              <w:bottom w:val="single" w:color="auto" w:sz="4" w:space="0"/>
              <w:right w:val="single" w:color="auto" w:sz="4" w:space="0"/>
            </w:tcBorders>
            <w:vAlign w:val="center"/>
          </w:tcPr>
          <w:p>
            <w:pPr>
              <w:ind w:firstLine="220" w:firstLineChars="100"/>
              <w:rPr>
                <w:rFonts w:ascii="宋体" w:hAnsi="宋体" w:cs="宋体"/>
                <w:color w:val="000000"/>
                <w:sz w:val="22"/>
                <w:szCs w:val="22"/>
              </w:rPr>
            </w:pPr>
            <w:r>
              <w:rPr>
                <w:rFonts w:hint="eastAsia" w:ascii="宋体" w:hAnsi="宋体" w:cs="宋体"/>
                <w:color w:val="000000"/>
                <w:sz w:val="22"/>
                <w:szCs w:val="22"/>
              </w:rPr>
              <w:t>公务员医疗补助</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60.30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60.30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2101199</w:t>
            </w:r>
          </w:p>
        </w:tc>
        <w:tc>
          <w:tcPr>
            <w:tcW w:w="2324" w:type="dxa"/>
            <w:tcBorders>
              <w:top w:val="nil"/>
              <w:left w:val="nil"/>
              <w:bottom w:val="single" w:color="auto" w:sz="4" w:space="0"/>
              <w:right w:val="single" w:color="auto" w:sz="4" w:space="0"/>
            </w:tcBorders>
            <w:vAlign w:val="center"/>
          </w:tcPr>
          <w:p>
            <w:pPr>
              <w:ind w:firstLine="220" w:firstLineChars="100"/>
              <w:rPr>
                <w:rFonts w:ascii="宋体" w:hAnsi="宋体" w:cs="宋体"/>
                <w:color w:val="000000"/>
                <w:sz w:val="22"/>
                <w:szCs w:val="22"/>
              </w:rPr>
            </w:pPr>
            <w:r>
              <w:rPr>
                <w:rFonts w:hint="eastAsia" w:ascii="宋体" w:hAnsi="宋体" w:cs="宋体"/>
                <w:color w:val="000000"/>
                <w:sz w:val="22"/>
                <w:szCs w:val="22"/>
              </w:rPr>
              <w:t>其他行政事业单位医疗支出</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0.06</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0.06</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212</w:t>
            </w:r>
          </w:p>
        </w:tc>
        <w:tc>
          <w:tcPr>
            <w:tcW w:w="2324" w:type="dxa"/>
            <w:tcBorders>
              <w:top w:val="nil"/>
              <w:left w:val="nil"/>
              <w:bottom w:val="single" w:color="auto" w:sz="4" w:space="0"/>
              <w:right w:val="single" w:color="auto" w:sz="4" w:space="0"/>
            </w:tcBorders>
            <w:vAlign w:val="center"/>
          </w:tcPr>
          <w:p>
            <w:pPr>
              <w:rPr>
                <w:rFonts w:ascii="宋体" w:hAnsi="宋体" w:cs="Arial"/>
                <w:b/>
                <w:color w:val="000000"/>
                <w:sz w:val="22"/>
                <w:szCs w:val="22"/>
              </w:rPr>
            </w:pPr>
            <w:r>
              <w:rPr>
                <w:rFonts w:hint="eastAsia" w:cs="Arial"/>
                <w:b/>
                <w:color w:val="000000"/>
                <w:sz w:val="22"/>
                <w:szCs w:val="22"/>
              </w:rPr>
              <w:t>城乡社区支出</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489.83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489.83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21202</w:t>
            </w:r>
          </w:p>
        </w:tc>
        <w:tc>
          <w:tcPr>
            <w:tcW w:w="2324"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ascii="宋体" w:hAnsi="宋体" w:cs="宋体"/>
                <w:color w:val="000000"/>
                <w:sz w:val="22"/>
                <w:szCs w:val="22"/>
              </w:rPr>
              <w:t>城乡社区规划与管理</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9.80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9.80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2120201</w:t>
            </w:r>
          </w:p>
        </w:tc>
        <w:tc>
          <w:tcPr>
            <w:tcW w:w="2324" w:type="dxa"/>
            <w:tcBorders>
              <w:top w:val="nil"/>
              <w:left w:val="nil"/>
              <w:bottom w:val="single" w:color="auto" w:sz="4" w:space="0"/>
              <w:right w:val="single" w:color="auto" w:sz="4" w:space="0"/>
            </w:tcBorders>
            <w:vAlign w:val="center"/>
          </w:tcPr>
          <w:p>
            <w:pPr>
              <w:ind w:firstLine="210" w:firstLineChars="100"/>
              <w:rPr>
                <w:rFonts w:ascii="宋体" w:hAnsi="宋体" w:cs="宋体"/>
                <w:color w:val="000000"/>
                <w:sz w:val="22"/>
                <w:szCs w:val="22"/>
              </w:rPr>
            </w:pPr>
            <w:r>
              <w:rPr>
                <w:rFonts w:hint="eastAsia" w:ascii="宋体" w:hAnsi="宋体" w:cs="宋体"/>
                <w:color w:val="000000"/>
                <w:szCs w:val="21"/>
              </w:rPr>
              <w:t>城乡社区规划与管理</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9.80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9.80</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21203</w:t>
            </w:r>
          </w:p>
        </w:tc>
        <w:tc>
          <w:tcPr>
            <w:tcW w:w="2324"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ascii="宋体" w:hAnsi="宋体" w:cs="宋体"/>
                <w:color w:val="000000"/>
                <w:sz w:val="22"/>
                <w:szCs w:val="22"/>
              </w:rPr>
              <w:t>城乡社区公共设施</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480.03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480.03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2120399</w:t>
            </w:r>
          </w:p>
        </w:tc>
        <w:tc>
          <w:tcPr>
            <w:tcW w:w="2324"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ascii="宋体" w:hAnsi="宋体" w:cs="宋体"/>
                <w:color w:val="000000"/>
                <w:sz w:val="22"/>
                <w:szCs w:val="22"/>
              </w:rPr>
              <w:t xml:space="preserve">  其他城乡社区公共设施支出</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480.03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480.03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w:t>
            </w:r>
          </w:p>
        </w:tc>
        <w:tc>
          <w:tcPr>
            <w:tcW w:w="2324" w:type="dxa"/>
            <w:tcBorders>
              <w:top w:val="nil"/>
              <w:left w:val="nil"/>
              <w:bottom w:val="single" w:color="auto" w:sz="4" w:space="0"/>
              <w:right w:val="single" w:color="auto" w:sz="4" w:space="0"/>
            </w:tcBorders>
            <w:vAlign w:val="center"/>
          </w:tcPr>
          <w:p>
            <w:pPr>
              <w:rPr>
                <w:rFonts w:ascii="宋体" w:hAnsi="宋体" w:cs="Arial"/>
                <w:b/>
                <w:color w:val="000000"/>
                <w:sz w:val="22"/>
                <w:szCs w:val="22"/>
              </w:rPr>
            </w:pPr>
            <w:r>
              <w:rPr>
                <w:rFonts w:hint="eastAsia" w:cs="Arial"/>
                <w:b/>
                <w:color w:val="000000"/>
                <w:sz w:val="22"/>
                <w:szCs w:val="22"/>
              </w:rPr>
              <w:t>农林水支出</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46.73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46.73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21301</w:t>
            </w:r>
          </w:p>
        </w:tc>
        <w:tc>
          <w:tcPr>
            <w:tcW w:w="2324"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农业</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2130199</w:t>
            </w:r>
          </w:p>
        </w:tc>
        <w:tc>
          <w:tcPr>
            <w:tcW w:w="2324"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其他农业支出</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21305</w:t>
            </w:r>
          </w:p>
        </w:tc>
        <w:tc>
          <w:tcPr>
            <w:tcW w:w="2324"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扶贫</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6.45</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6.45</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2130599</w:t>
            </w:r>
          </w:p>
        </w:tc>
        <w:tc>
          <w:tcPr>
            <w:tcW w:w="2324"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其他扶贫支出</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6.45</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6.45</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21306</w:t>
            </w:r>
          </w:p>
        </w:tc>
        <w:tc>
          <w:tcPr>
            <w:tcW w:w="2324"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农业综合开发</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0.28</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0.28</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2130601</w:t>
            </w:r>
          </w:p>
        </w:tc>
        <w:tc>
          <w:tcPr>
            <w:tcW w:w="2324"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机构运行</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0.28</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0.28</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21307</w:t>
            </w:r>
          </w:p>
        </w:tc>
        <w:tc>
          <w:tcPr>
            <w:tcW w:w="2324"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农村综合改革</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35</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35</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2130799</w:t>
            </w:r>
          </w:p>
        </w:tc>
        <w:tc>
          <w:tcPr>
            <w:tcW w:w="2324"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其他农村综合改革支出</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35</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35</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w:t>
            </w:r>
          </w:p>
        </w:tc>
        <w:tc>
          <w:tcPr>
            <w:tcW w:w="2324" w:type="dxa"/>
            <w:tcBorders>
              <w:top w:val="nil"/>
              <w:left w:val="nil"/>
              <w:bottom w:val="single" w:color="auto" w:sz="4" w:space="0"/>
              <w:right w:val="single" w:color="auto" w:sz="4" w:space="0"/>
            </w:tcBorders>
            <w:vAlign w:val="center"/>
          </w:tcPr>
          <w:p>
            <w:pPr>
              <w:rPr>
                <w:rFonts w:ascii="宋体" w:hAnsi="宋体" w:cs="Arial"/>
                <w:b/>
                <w:color w:val="000000"/>
                <w:sz w:val="22"/>
                <w:szCs w:val="22"/>
              </w:rPr>
            </w:pPr>
            <w:r>
              <w:rPr>
                <w:rFonts w:hint="eastAsia" w:cs="Arial"/>
                <w:b/>
                <w:color w:val="000000"/>
                <w:sz w:val="22"/>
                <w:szCs w:val="22"/>
              </w:rPr>
              <w:t>住房保障支出</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252.38</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252.38</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w:t>
            </w:r>
          </w:p>
        </w:tc>
        <w:tc>
          <w:tcPr>
            <w:tcW w:w="2324"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住房改革支出</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252.38</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252.38</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2210201</w:t>
            </w:r>
          </w:p>
        </w:tc>
        <w:tc>
          <w:tcPr>
            <w:tcW w:w="2324"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247.15</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247.15</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2210203</w:t>
            </w:r>
          </w:p>
        </w:tc>
        <w:tc>
          <w:tcPr>
            <w:tcW w:w="2324"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购房补贴</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5.23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5.23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w:t>
            </w:r>
          </w:p>
        </w:tc>
        <w:tc>
          <w:tcPr>
            <w:tcW w:w="2324" w:type="dxa"/>
            <w:tcBorders>
              <w:top w:val="nil"/>
              <w:left w:val="nil"/>
              <w:bottom w:val="single" w:color="auto" w:sz="4" w:space="0"/>
              <w:right w:val="single" w:color="auto" w:sz="4" w:space="0"/>
            </w:tcBorders>
            <w:vAlign w:val="center"/>
          </w:tcPr>
          <w:p>
            <w:pPr>
              <w:rPr>
                <w:rFonts w:ascii="宋体" w:hAnsi="宋体" w:cs="Arial"/>
                <w:b/>
                <w:color w:val="000000"/>
                <w:sz w:val="22"/>
                <w:szCs w:val="22"/>
              </w:rPr>
            </w:pPr>
            <w:r>
              <w:rPr>
                <w:rFonts w:hint="eastAsia" w:cs="Arial"/>
                <w:b/>
                <w:color w:val="000000"/>
                <w:sz w:val="22"/>
                <w:szCs w:val="22"/>
              </w:rPr>
              <w:t>其他支出</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13.83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13.83</w:t>
            </w: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22999</w:t>
            </w:r>
          </w:p>
        </w:tc>
        <w:tc>
          <w:tcPr>
            <w:tcW w:w="2324"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其他支出</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13.83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13.83</w:t>
            </w:r>
          </w:p>
        </w:tc>
      </w:tr>
      <w:tr>
        <w:tblPrEx>
          <w:tblCellMar>
            <w:top w:w="0" w:type="dxa"/>
            <w:left w:w="108" w:type="dxa"/>
            <w:bottom w:w="0" w:type="dxa"/>
            <w:right w:w="108" w:type="dxa"/>
          </w:tblCellMar>
        </w:tblPrEx>
        <w:trPr>
          <w:trHeight w:val="288" w:hRule="atLeast"/>
          <w:jc w:val="center"/>
        </w:trPr>
        <w:tc>
          <w:tcPr>
            <w:tcW w:w="1036"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2299901</w:t>
            </w:r>
          </w:p>
        </w:tc>
        <w:tc>
          <w:tcPr>
            <w:tcW w:w="2324"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其他支出</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13.83</w:t>
            </w: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45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24"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54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13.83</w:t>
            </w:r>
          </w:p>
        </w:tc>
      </w:tr>
    </w:tbl>
    <w:p/>
    <w:p>
      <w:pPr>
        <w:ind w:firstLine="630" w:firstLineChars="300"/>
      </w:pPr>
      <w:r>
        <w:rPr>
          <w:rFonts w:hint="eastAsia"/>
        </w:rPr>
        <w:t>注：本表反映部门本年度取得的各项收入情况。</w:t>
      </w:r>
    </w:p>
    <w:p>
      <w:pPr>
        <w:jc w:val="center"/>
        <w:rPr>
          <w:rFonts w:ascii="宋体-方正超大字符集" w:eastAsia="宋体-方正超大字符集"/>
          <w:b/>
          <w:sz w:val="32"/>
          <w:szCs w:val="32"/>
        </w:rPr>
      </w:pPr>
      <w:r>
        <w:rPr>
          <w:rFonts w:ascii="宋体-方正超大字符集" w:hAnsi="宋体" w:eastAsia="宋体-方正超大字符集" w:cs="宋体"/>
          <w:b/>
          <w:kern w:val="0"/>
          <w:sz w:val="32"/>
          <w:szCs w:val="32"/>
        </w:rPr>
        <w:br w:type="page"/>
      </w:r>
      <w:r>
        <w:rPr>
          <w:rFonts w:hint="eastAsia" w:ascii="宋体-方正超大字符集" w:hAnsi="宋体" w:eastAsia="宋体-方正超大字符集" w:cs="宋体"/>
          <w:b/>
          <w:kern w:val="0"/>
          <w:sz w:val="32"/>
          <w:szCs w:val="32"/>
        </w:rPr>
        <w:t>表三：支出决算表</w:t>
      </w:r>
    </w:p>
    <w:p>
      <w:pPr>
        <w:wordWrap w:val="0"/>
        <w:jc w:val="right"/>
      </w:pPr>
      <w:r>
        <w:rPr>
          <w:rFonts w:hint="eastAsia"/>
          <w:sz w:val="22"/>
          <w:szCs w:val="22"/>
        </w:rPr>
        <w:t xml:space="preserve">单位：万元      </w:t>
      </w:r>
    </w:p>
    <w:tbl>
      <w:tblPr>
        <w:tblStyle w:val="6"/>
        <w:tblW w:w="14049" w:type="dxa"/>
        <w:jc w:val="center"/>
        <w:tblLayout w:type="fixed"/>
        <w:tblCellMar>
          <w:top w:w="0" w:type="dxa"/>
          <w:left w:w="108" w:type="dxa"/>
          <w:bottom w:w="0" w:type="dxa"/>
          <w:right w:w="108" w:type="dxa"/>
        </w:tblCellMar>
      </w:tblPr>
      <w:tblGrid>
        <w:gridCol w:w="1180"/>
        <w:gridCol w:w="2331"/>
        <w:gridCol w:w="1466"/>
        <w:gridCol w:w="1842"/>
        <w:gridCol w:w="1701"/>
        <w:gridCol w:w="1701"/>
        <w:gridCol w:w="1690"/>
        <w:gridCol w:w="2138"/>
      </w:tblGrid>
      <w:tr>
        <w:tblPrEx>
          <w:tblCellMar>
            <w:top w:w="0" w:type="dxa"/>
            <w:left w:w="108" w:type="dxa"/>
            <w:bottom w:w="0" w:type="dxa"/>
            <w:right w:w="108" w:type="dxa"/>
          </w:tblCellMar>
        </w:tblPrEx>
        <w:trPr>
          <w:trHeight w:val="288" w:hRule="atLeast"/>
          <w:tblHeader/>
          <w:jc w:val="center"/>
        </w:trPr>
        <w:tc>
          <w:tcPr>
            <w:tcW w:w="351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支出功能项目</w:t>
            </w:r>
          </w:p>
        </w:tc>
        <w:tc>
          <w:tcPr>
            <w:tcW w:w="146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6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21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tblHeader/>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科目编码</w:t>
            </w:r>
          </w:p>
        </w:tc>
        <w:tc>
          <w:tcPr>
            <w:tcW w:w="233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4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3511"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46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69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2138"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3511"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46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7104.88</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4558.29</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2546.59</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201</w:t>
            </w:r>
          </w:p>
        </w:tc>
        <w:tc>
          <w:tcPr>
            <w:tcW w:w="233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一般公共服务支出</w:t>
            </w:r>
          </w:p>
        </w:tc>
        <w:tc>
          <w:tcPr>
            <w:tcW w:w="1466"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5446.59</w:t>
            </w:r>
          </w:p>
        </w:tc>
        <w:tc>
          <w:tcPr>
            <w:tcW w:w="1842"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3453.93</w:t>
            </w:r>
          </w:p>
        </w:tc>
        <w:tc>
          <w:tcPr>
            <w:tcW w:w="1701"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1992.66</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财政事务</w:t>
            </w:r>
          </w:p>
        </w:tc>
        <w:tc>
          <w:tcPr>
            <w:tcW w:w="146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5446.59</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3453.93</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1992.66</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2010601</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46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2615.84</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2615.84</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2010602</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一般行政管理事务</w:t>
            </w:r>
          </w:p>
        </w:tc>
        <w:tc>
          <w:tcPr>
            <w:tcW w:w="146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1097.88</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501.58</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596.30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2010605</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财政国库业务</w:t>
            </w:r>
          </w:p>
        </w:tc>
        <w:tc>
          <w:tcPr>
            <w:tcW w:w="146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925.72</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49.72</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876</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2010650</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事业运行</w:t>
            </w:r>
          </w:p>
        </w:tc>
        <w:tc>
          <w:tcPr>
            <w:tcW w:w="146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657.27</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271.70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385.57</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2010699</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其他财政事务支出</w:t>
            </w:r>
          </w:p>
        </w:tc>
        <w:tc>
          <w:tcPr>
            <w:tcW w:w="146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149.88</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15.09</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134.79</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46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524.53</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524.53</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行政事业单位离退休</w:t>
            </w:r>
          </w:p>
        </w:tc>
        <w:tc>
          <w:tcPr>
            <w:tcW w:w="146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524.53</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524.53</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2080501</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行政单位离退休</w:t>
            </w:r>
          </w:p>
        </w:tc>
        <w:tc>
          <w:tcPr>
            <w:tcW w:w="146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100.87</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100.87</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2080502</w:t>
            </w:r>
          </w:p>
        </w:tc>
        <w:tc>
          <w:tcPr>
            <w:tcW w:w="2331" w:type="dxa"/>
            <w:tcBorders>
              <w:top w:val="nil"/>
              <w:left w:val="nil"/>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 xml:space="preserve">   事业单位离退休</w:t>
            </w:r>
          </w:p>
        </w:tc>
        <w:tc>
          <w:tcPr>
            <w:tcW w:w="1466"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23.24</w:t>
            </w:r>
          </w:p>
        </w:tc>
        <w:tc>
          <w:tcPr>
            <w:tcW w:w="1842"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23.24</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2080505</w:t>
            </w:r>
          </w:p>
        </w:tc>
        <w:tc>
          <w:tcPr>
            <w:tcW w:w="2331" w:type="dxa"/>
            <w:tcBorders>
              <w:top w:val="nil"/>
              <w:left w:val="nil"/>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机关事业单位基本养老保险缴费支出</w:t>
            </w:r>
          </w:p>
        </w:tc>
        <w:tc>
          <w:tcPr>
            <w:tcW w:w="146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400.43</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400.43</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cs="Arial"/>
                <w:color w:val="000000"/>
                <w:sz w:val="18"/>
                <w:szCs w:val="18"/>
              </w:rPr>
              <w:t>医疗卫生与计划生育支出</w:t>
            </w:r>
          </w:p>
        </w:tc>
        <w:tc>
          <w:tcPr>
            <w:tcW w:w="146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216.86</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216.86</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21011</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行政事业单位医疗</w:t>
            </w:r>
          </w:p>
        </w:tc>
        <w:tc>
          <w:tcPr>
            <w:tcW w:w="146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216.86</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216.86</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2101101</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136.86</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136.86</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2101102</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20.38</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20.38</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2101103</w:t>
            </w:r>
          </w:p>
        </w:tc>
        <w:tc>
          <w:tcPr>
            <w:tcW w:w="233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公务员医疗补助</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59.55</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59.55</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2101109</w:t>
            </w:r>
          </w:p>
        </w:tc>
        <w:tc>
          <w:tcPr>
            <w:tcW w:w="233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其他行政事业单位医疗支出</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0.07</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0.07</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212</w:t>
            </w:r>
          </w:p>
        </w:tc>
        <w:tc>
          <w:tcPr>
            <w:tcW w:w="233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城乡社区支出</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531.73</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9.8</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521.93</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21202</w:t>
            </w:r>
          </w:p>
        </w:tc>
        <w:tc>
          <w:tcPr>
            <w:tcW w:w="233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城乡社区规划与管理</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9.8</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9.8</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2120201</w:t>
            </w:r>
          </w:p>
        </w:tc>
        <w:tc>
          <w:tcPr>
            <w:tcW w:w="233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城乡社区规划与管理</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9.8</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9.8</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21203</w:t>
            </w:r>
          </w:p>
        </w:tc>
        <w:tc>
          <w:tcPr>
            <w:tcW w:w="233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城乡社区公共设施</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521.93</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p>
        </w:tc>
        <w:tc>
          <w:tcPr>
            <w:tcW w:w="1701"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521.93</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2120399</w:t>
            </w:r>
          </w:p>
        </w:tc>
        <w:tc>
          <w:tcPr>
            <w:tcW w:w="2331" w:type="dxa"/>
            <w:tcBorders>
              <w:top w:val="nil"/>
              <w:left w:val="nil"/>
              <w:bottom w:val="single" w:color="auto" w:sz="4" w:space="0"/>
              <w:right w:val="single" w:color="auto" w:sz="4" w:space="0"/>
            </w:tcBorders>
            <w:vAlign w:val="center"/>
          </w:tcPr>
          <w:p>
            <w:pPr>
              <w:rPr>
                <w:rFonts w:cs="Arial"/>
                <w:color w:val="000000"/>
                <w:sz w:val="18"/>
                <w:szCs w:val="18"/>
              </w:rPr>
            </w:pPr>
            <w:r>
              <w:rPr>
                <w:rFonts w:hint="eastAsia" w:cs="Arial"/>
                <w:color w:val="000000"/>
                <w:sz w:val="18"/>
                <w:szCs w:val="18"/>
              </w:rPr>
              <w:t xml:space="preserve"> 其他城乡社区公共设施</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521.93</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p>
        </w:tc>
        <w:tc>
          <w:tcPr>
            <w:tcW w:w="1701"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521.93</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农林水支出</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53.79</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21.79</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32</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21301</w:t>
            </w:r>
          </w:p>
        </w:tc>
        <w:tc>
          <w:tcPr>
            <w:tcW w:w="233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农业</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5</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5</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2130199</w:t>
            </w:r>
          </w:p>
        </w:tc>
        <w:tc>
          <w:tcPr>
            <w:tcW w:w="233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其他农业支出</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5</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5</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21305</w:t>
            </w:r>
          </w:p>
        </w:tc>
        <w:tc>
          <w:tcPr>
            <w:tcW w:w="233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扶贫</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6.45</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6.45</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2130599</w:t>
            </w:r>
          </w:p>
        </w:tc>
        <w:tc>
          <w:tcPr>
            <w:tcW w:w="233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其他扶贫支出</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6.45</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6.45</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21306</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农业综合开发</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7.34</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7.34</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2130601</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机构运行</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7.34</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7.34</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21307</w:t>
            </w:r>
          </w:p>
        </w:tc>
        <w:tc>
          <w:tcPr>
            <w:tcW w:w="233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农村综合改革</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35</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3</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32</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2130799</w:t>
            </w:r>
          </w:p>
        </w:tc>
        <w:tc>
          <w:tcPr>
            <w:tcW w:w="2331"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其他农村综合改革支出</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35</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3</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32</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215</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资源勘探信息等支出</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0.32</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0.32</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21502</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制造业</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0.32</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0.32</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2150299</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其他制造业支出</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0.32</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0.32</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住房保障支出</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256.50</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256.50</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住房改革支出</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256.50</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256.50</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2210201</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251.28</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251.28</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2210203</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购房补贴</w:t>
            </w:r>
          </w:p>
        </w:tc>
        <w:tc>
          <w:tcPr>
            <w:tcW w:w="1466"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5.23</w:t>
            </w:r>
          </w:p>
        </w:tc>
        <w:tc>
          <w:tcPr>
            <w:tcW w:w="1842" w:type="dxa"/>
            <w:tcBorders>
              <w:top w:val="nil"/>
              <w:left w:val="nil"/>
              <w:bottom w:val="single" w:color="auto" w:sz="4" w:space="0"/>
              <w:right w:val="single" w:color="auto" w:sz="4" w:space="0"/>
            </w:tcBorders>
            <w:vAlign w:val="center"/>
          </w:tcPr>
          <w:p>
            <w:pPr>
              <w:jc w:val="right"/>
              <w:rPr>
                <w:color w:val="000000"/>
                <w:sz w:val="22"/>
                <w:szCs w:val="22"/>
              </w:rPr>
            </w:pPr>
            <w:r>
              <w:rPr>
                <w:rFonts w:hint="eastAsia"/>
                <w:color w:val="000000"/>
                <w:sz w:val="22"/>
                <w:szCs w:val="22"/>
              </w:rPr>
              <w:t>5.23</w:t>
            </w: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701" w:type="dxa"/>
            <w:tcBorders>
              <w:top w:val="nil"/>
              <w:left w:val="nil"/>
              <w:bottom w:val="single" w:color="auto" w:sz="4" w:space="0"/>
              <w:right w:val="single" w:color="auto" w:sz="4" w:space="0"/>
            </w:tcBorders>
            <w:vAlign w:val="center"/>
          </w:tcPr>
          <w:p>
            <w:pPr>
              <w:jc w:val="right"/>
              <w:rPr>
                <w:color w:val="000000"/>
                <w:sz w:val="22"/>
                <w:szCs w:val="22"/>
              </w:rPr>
            </w:pPr>
          </w:p>
        </w:tc>
        <w:tc>
          <w:tcPr>
            <w:tcW w:w="1690" w:type="dxa"/>
            <w:tcBorders>
              <w:top w:val="nil"/>
              <w:left w:val="nil"/>
              <w:bottom w:val="single" w:color="auto" w:sz="4" w:space="0"/>
              <w:right w:val="single" w:color="auto" w:sz="4" w:space="0"/>
            </w:tcBorders>
            <w:vAlign w:val="center"/>
          </w:tcPr>
          <w:p>
            <w:pPr>
              <w:jc w:val="right"/>
              <w:rPr>
                <w:color w:val="000000"/>
                <w:sz w:val="22"/>
                <w:szCs w:val="22"/>
              </w:rPr>
            </w:pPr>
          </w:p>
        </w:tc>
        <w:tc>
          <w:tcPr>
            <w:tcW w:w="2138" w:type="dxa"/>
            <w:tcBorders>
              <w:top w:val="nil"/>
              <w:left w:val="nil"/>
              <w:bottom w:val="single" w:color="auto" w:sz="4" w:space="0"/>
              <w:right w:val="single" w:color="auto" w:sz="4" w:space="0"/>
            </w:tcBorders>
            <w:vAlign w:val="center"/>
          </w:tcPr>
          <w:p>
            <w:pPr>
              <w:jc w:val="right"/>
              <w:rPr>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其他支出</w:t>
            </w:r>
          </w:p>
        </w:tc>
        <w:tc>
          <w:tcPr>
            <w:tcW w:w="146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74.55</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74.55</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22999</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其他支出</w:t>
            </w:r>
          </w:p>
        </w:tc>
        <w:tc>
          <w:tcPr>
            <w:tcW w:w="146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74.55</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74.55</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2299901</w:t>
            </w:r>
          </w:p>
        </w:tc>
        <w:tc>
          <w:tcPr>
            <w:tcW w:w="2331"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其他支出</w:t>
            </w:r>
          </w:p>
        </w:tc>
        <w:tc>
          <w:tcPr>
            <w:tcW w:w="146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74.55</w:t>
            </w:r>
          </w:p>
        </w:tc>
        <w:tc>
          <w:tcPr>
            <w:tcW w:w="1842"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74.55</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169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2138"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bl>
    <w:p/>
    <w:p>
      <w:pPr>
        <w:ind w:firstLine="735" w:firstLineChars="350"/>
      </w:pPr>
      <w:r>
        <w:rPr>
          <w:rFonts w:hint="eastAsia"/>
        </w:rPr>
        <w:t>注：本表反映部门本年度各项支出情况。</w:t>
      </w:r>
    </w:p>
    <w:p/>
    <w:p/>
    <w:p/>
    <w:p>
      <w:r>
        <w:br w:type="page"/>
      </w:r>
    </w:p>
    <w:p>
      <w:pPr>
        <w:spacing w:line="400" w:lineRule="exact"/>
        <w:jc w:val="center"/>
      </w:pPr>
      <w:r>
        <w:rPr>
          <w:rFonts w:hint="eastAsia" w:ascii="方正小标宋简体" w:hAnsi="宋体" w:eastAsia="方正小标宋简体" w:cs="宋体"/>
          <w:kern w:val="0"/>
          <w:sz w:val="36"/>
          <w:szCs w:val="36"/>
        </w:rPr>
        <w:t>表四：财政拨款收入支出决算总表</w:t>
      </w:r>
    </w:p>
    <w:p>
      <w:pPr>
        <w:ind w:right="440"/>
        <w:jc w:val="center"/>
        <w:rPr>
          <w:sz w:val="22"/>
          <w:szCs w:val="22"/>
        </w:rPr>
      </w:pPr>
      <w:r>
        <w:rPr>
          <w:rFonts w:hint="eastAsia"/>
          <w:sz w:val="22"/>
          <w:szCs w:val="22"/>
        </w:rPr>
        <w:t xml:space="preserve">                                                                                                            单位：万元</w:t>
      </w:r>
    </w:p>
    <w:tbl>
      <w:tblPr>
        <w:tblStyle w:val="6"/>
        <w:tblW w:w="13765" w:type="dxa"/>
        <w:jc w:val="center"/>
        <w:tblLayout w:type="fixed"/>
        <w:tblCellMar>
          <w:top w:w="0" w:type="dxa"/>
          <w:left w:w="108" w:type="dxa"/>
          <w:bottom w:w="0" w:type="dxa"/>
          <w:right w:w="108" w:type="dxa"/>
        </w:tblCellMar>
      </w:tblPr>
      <w:tblGrid>
        <w:gridCol w:w="4103"/>
        <w:gridCol w:w="525"/>
        <w:gridCol w:w="1351"/>
        <w:gridCol w:w="3372"/>
        <w:gridCol w:w="681"/>
        <w:gridCol w:w="1267"/>
        <w:gridCol w:w="8"/>
        <w:gridCol w:w="1355"/>
        <w:gridCol w:w="1103"/>
      </w:tblGrid>
      <w:tr>
        <w:tblPrEx>
          <w:tblCellMar>
            <w:top w:w="0" w:type="dxa"/>
            <w:left w:w="108" w:type="dxa"/>
            <w:bottom w:w="0" w:type="dxa"/>
            <w:right w:w="108" w:type="dxa"/>
          </w:tblCellMar>
        </w:tblPrEx>
        <w:trPr>
          <w:trHeight w:val="300" w:hRule="atLeast"/>
          <w:jc w:val="center"/>
        </w:trPr>
        <w:tc>
          <w:tcPr>
            <w:tcW w:w="5979"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6" w:type="dxa"/>
            <w:gridSpan w:val="6"/>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jc w:val="center"/>
        </w:trPr>
        <w:tc>
          <w:tcPr>
            <w:tcW w:w="410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25"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35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363" w:type="dxa"/>
            <w:gridSpan w:val="2"/>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103"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2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35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63" w:type="dxa"/>
            <w:gridSpan w:val="2"/>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425" w:hRule="atLeast"/>
          <w:jc w:val="center"/>
        </w:trPr>
        <w:tc>
          <w:tcPr>
            <w:tcW w:w="41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52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351"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6765.75</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267"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5446.14</w:t>
            </w:r>
          </w:p>
        </w:tc>
        <w:tc>
          <w:tcPr>
            <w:tcW w:w="1363" w:type="dxa"/>
            <w:gridSpan w:val="2"/>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5446.14</w:t>
            </w:r>
          </w:p>
        </w:tc>
        <w:tc>
          <w:tcPr>
            <w:tcW w:w="1103"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52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51" w:type="dxa"/>
            <w:tcBorders>
              <w:top w:val="nil"/>
              <w:left w:val="nil"/>
              <w:bottom w:val="single" w:color="auto" w:sz="4" w:space="0"/>
              <w:right w:val="single" w:color="auto" w:sz="4" w:space="0"/>
            </w:tcBorders>
          </w:tcPr>
          <w:p>
            <w:pPr>
              <w:widowControl/>
              <w:ind w:firstLine="440" w:firstLineChars="200"/>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八、社会保障和就业支出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267"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524.53</w:t>
            </w:r>
          </w:p>
        </w:tc>
        <w:tc>
          <w:tcPr>
            <w:tcW w:w="1363" w:type="dxa"/>
            <w:gridSpan w:val="2"/>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524.53</w:t>
            </w:r>
          </w:p>
        </w:tc>
        <w:tc>
          <w:tcPr>
            <w:tcW w:w="1103"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2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51"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九、医疗卫生与计划生育支出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216.86</w:t>
            </w:r>
          </w:p>
        </w:tc>
        <w:tc>
          <w:tcPr>
            <w:tcW w:w="1363" w:type="dxa"/>
            <w:gridSpan w:val="2"/>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216.86</w:t>
            </w:r>
          </w:p>
        </w:tc>
        <w:tc>
          <w:tcPr>
            <w:tcW w:w="1103"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2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351"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十一、城乡社区支出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531.73</w:t>
            </w:r>
          </w:p>
        </w:tc>
        <w:tc>
          <w:tcPr>
            <w:tcW w:w="1363" w:type="dxa"/>
            <w:gridSpan w:val="2"/>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531.73</w:t>
            </w:r>
          </w:p>
        </w:tc>
        <w:tc>
          <w:tcPr>
            <w:tcW w:w="1103"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2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51"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十二、农林水支出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pPr>
              <w:widowControl/>
              <w:ind w:firstLine="110" w:firstLineChars="50"/>
              <w:jc w:val="right"/>
              <w:rPr>
                <w:rFonts w:ascii="宋体" w:hAnsi="宋体" w:cs="Arial"/>
                <w:color w:val="000000"/>
                <w:kern w:val="0"/>
                <w:sz w:val="22"/>
                <w:szCs w:val="22"/>
              </w:rPr>
            </w:pPr>
            <w:r>
              <w:rPr>
                <w:rFonts w:hint="eastAsia" w:ascii="宋体" w:hAnsi="宋体" w:cs="Arial"/>
                <w:color w:val="000000"/>
                <w:kern w:val="0"/>
                <w:sz w:val="22"/>
                <w:szCs w:val="22"/>
              </w:rPr>
              <w:t>53.79</w:t>
            </w:r>
          </w:p>
        </w:tc>
        <w:tc>
          <w:tcPr>
            <w:tcW w:w="1363" w:type="dxa"/>
            <w:gridSpan w:val="2"/>
            <w:tcBorders>
              <w:top w:val="nil"/>
              <w:left w:val="nil"/>
              <w:bottom w:val="single" w:color="auto" w:sz="4" w:space="0"/>
              <w:right w:val="single" w:color="auto" w:sz="4" w:space="0"/>
            </w:tcBorders>
          </w:tcPr>
          <w:p>
            <w:pPr>
              <w:widowControl/>
              <w:ind w:firstLine="110" w:firstLineChars="50"/>
              <w:jc w:val="right"/>
              <w:rPr>
                <w:rFonts w:ascii="宋体" w:hAnsi="宋体" w:cs="Arial"/>
                <w:color w:val="000000"/>
                <w:kern w:val="0"/>
                <w:sz w:val="22"/>
                <w:szCs w:val="22"/>
              </w:rPr>
            </w:pPr>
            <w:r>
              <w:rPr>
                <w:rFonts w:hint="eastAsia" w:ascii="宋体" w:hAnsi="宋体" w:cs="Arial"/>
                <w:color w:val="000000"/>
                <w:kern w:val="0"/>
                <w:sz w:val="22"/>
                <w:szCs w:val="22"/>
              </w:rPr>
              <w:t>53.79</w:t>
            </w:r>
          </w:p>
        </w:tc>
        <w:tc>
          <w:tcPr>
            <w:tcW w:w="1103"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2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351"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十四、资源勘探信息等支出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0.32</w:t>
            </w:r>
          </w:p>
        </w:tc>
        <w:tc>
          <w:tcPr>
            <w:tcW w:w="1363" w:type="dxa"/>
            <w:gridSpan w:val="2"/>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0.32</w:t>
            </w:r>
          </w:p>
        </w:tc>
        <w:tc>
          <w:tcPr>
            <w:tcW w:w="1103"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2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351"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十九、住房保障支出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256.50</w:t>
            </w:r>
          </w:p>
        </w:tc>
        <w:tc>
          <w:tcPr>
            <w:tcW w:w="1363" w:type="dxa"/>
            <w:gridSpan w:val="2"/>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256.50</w:t>
            </w:r>
          </w:p>
        </w:tc>
        <w:tc>
          <w:tcPr>
            <w:tcW w:w="1103"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2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351"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tcPr>
          <w:p>
            <w:pPr>
              <w:widowControl/>
              <w:ind w:firstLine="110" w:firstLineChars="50"/>
              <w:jc w:val="right"/>
              <w:rPr>
                <w:rFonts w:ascii="宋体" w:hAnsi="宋体" w:cs="Arial"/>
                <w:color w:val="000000"/>
                <w:kern w:val="0"/>
                <w:sz w:val="22"/>
                <w:szCs w:val="22"/>
              </w:rPr>
            </w:pPr>
          </w:p>
        </w:tc>
        <w:tc>
          <w:tcPr>
            <w:tcW w:w="1363" w:type="dxa"/>
            <w:gridSpan w:val="2"/>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p>
        </w:tc>
        <w:tc>
          <w:tcPr>
            <w:tcW w:w="1103"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2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51"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75" w:type="dxa"/>
            <w:gridSpan w:val="2"/>
            <w:tcBorders>
              <w:top w:val="single" w:color="auto" w:sz="4" w:space="0"/>
              <w:left w:val="nil"/>
              <w:bottom w:val="single" w:color="auto" w:sz="4" w:space="0"/>
              <w:right w:val="single" w:color="auto" w:sz="4" w:space="0"/>
            </w:tcBorders>
          </w:tcPr>
          <w:p>
            <w:pPr>
              <w:widowControl/>
              <w:ind w:firstLine="2420" w:firstLineChars="1100"/>
              <w:jc w:val="right"/>
              <w:rPr>
                <w:rFonts w:ascii="宋体" w:hAnsi="宋体" w:cs="Arial"/>
                <w:color w:val="000000"/>
                <w:kern w:val="0"/>
                <w:sz w:val="22"/>
                <w:szCs w:val="22"/>
              </w:rPr>
            </w:pPr>
          </w:p>
        </w:tc>
        <w:tc>
          <w:tcPr>
            <w:tcW w:w="1355" w:type="dxa"/>
            <w:tcBorders>
              <w:top w:val="single" w:color="auto" w:sz="4" w:space="0"/>
              <w:left w:val="nil"/>
              <w:bottom w:val="single" w:color="auto" w:sz="4" w:space="0"/>
              <w:right w:val="single" w:color="auto" w:sz="4" w:space="0"/>
            </w:tcBorders>
          </w:tcPr>
          <w:p>
            <w:pPr>
              <w:widowControl/>
              <w:ind w:firstLine="2420" w:firstLineChars="1100"/>
              <w:jc w:val="right"/>
              <w:rPr>
                <w:rFonts w:ascii="宋体" w:hAnsi="宋体" w:cs="Arial"/>
                <w:color w:val="000000"/>
                <w:kern w:val="0"/>
                <w:sz w:val="22"/>
                <w:szCs w:val="22"/>
              </w:rPr>
            </w:pPr>
          </w:p>
        </w:tc>
        <w:tc>
          <w:tcPr>
            <w:tcW w:w="1103" w:type="dxa"/>
            <w:tcBorders>
              <w:top w:val="single" w:color="auto" w:sz="4" w:space="0"/>
              <w:left w:val="nil"/>
              <w:bottom w:val="single" w:color="auto" w:sz="4" w:space="0"/>
              <w:right w:val="single" w:color="auto" w:sz="4" w:space="0"/>
            </w:tcBorders>
          </w:tcPr>
          <w:p>
            <w:pPr>
              <w:widowControl/>
              <w:ind w:firstLine="2420" w:firstLineChars="110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color w:val="000000"/>
                <w:kern w:val="0"/>
                <w:sz w:val="22"/>
                <w:szCs w:val="22"/>
              </w:rPr>
              <w:t>本年收入合计</w:t>
            </w:r>
          </w:p>
        </w:tc>
        <w:tc>
          <w:tcPr>
            <w:tcW w:w="52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351"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6765.75</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75" w:type="dxa"/>
            <w:gridSpan w:val="2"/>
            <w:tcBorders>
              <w:top w:val="single" w:color="auto" w:sz="4" w:space="0"/>
              <w:left w:val="nil"/>
              <w:bottom w:val="single" w:color="auto" w:sz="4" w:space="0"/>
              <w:right w:val="single" w:color="auto" w:sz="4" w:space="0"/>
            </w:tcBorders>
          </w:tcPr>
          <w:p>
            <w:pPr>
              <w:ind w:left="5"/>
              <w:jc w:val="right"/>
              <w:rPr>
                <w:rFonts w:ascii="宋体" w:hAnsi="宋体" w:cs="Arial"/>
                <w:color w:val="000000"/>
                <w:kern w:val="0"/>
                <w:sz w:val="22"/>
                <w:szCs w:val="22"/>
              </w:rPr>
            </w:pPr>
            <w:r>
              <w:rPr>
                <w:rFonts w:hint="eastAsia" w:ascii="宋体" w:hAnsi="宋体" w:cs="Arial"/>
                <w:color w:val="000000"/>
                <w:kern w:val="0"/>
                <w:sz w:val="22"/>
                <w:szCs w:val="22"/>
              </w:rPr>
              <w:t>7029.87</w:t>
            </w:r>
          </w:p>
        </w:tc>
        <w:tc>
          <w:tcPr>
            <w:tcW w:w="1355" w:type="dxa"/>
            <w:tcBorders>
              <w:top w:val="single" w:color="auto" w:sz="4" w:space="0"/>
              <w:left w:val="nil"/>
              <w:bottom w:val="single" w:color="auto" w:sz="4" w:space="0"/>
              <w:right w:val="single" w:color="auto" w:sz="4" w:space="0"/>
            </w:tcBorders>
          </w:tcPr>
          <w:p>
            <w:pPr>
              <w:ind w:left="5"/>
              <w:jc w:val="right"/>
              <w:rPr>
                <w:rFonts w:ascii="宋体" w:hAnsi="宋体" w:cs="Arial"/>
                <w:color w:val="000000"/>
                <w:kern w:val="0"/>
                <w:sz w:val="22"/>
                <w:szCs w:val="22"/>
              </w:rPr>
            </w:pPr>
            <w:r>
              <w:rPr>
                <w:rFonts w:hint="eastAsia" w:ascii="宋体" w:hAnsi="宋体" w:cs="Arial"/>
                <w:color w:val="000000"/>
                <w:kern w:val="0"/>
                <w:sz w:val="22"/>
                <w:szCs w:val="22"/>
              </w:rPr>
              <w:t>7029.87</w:t>
            </w:r>
          </w:p>
        </w:tc>
        <w:tc>
          <w:tcPr>
            <w:tcW w:w="1103" w:type="dxa"/>
            <w:tcBorders>
              <w:top w:val="single" w:color="auto" w:sz="4" w:space="0"/>
              <w:left w:val="nil"/>
              <w:bottom w:val="single" w:color="auto" w:sz="4" w:space="0"/>
              <w:right w:val="single" w:color="auto" w:sz="4" w:space="0"/>
            </w:tcBorders>
          </w:tcPr>
          <w:p>
            <w:pPr>
              <w:ind w:left="5"/>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年初财政拨款结转和结余</w:t>
            </w:r>
          </w:p>
        </w:tc>
        <w:tc>
          <w:tcPr>
            <w:tcW w:w="52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51"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1284.75</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75" w:type="dxa"/>
            <w:gridSpan w:val="2"/>
            <w:tcBorders>
              <w:top w:val="single" w:color="auto" w:sz="4" w:space="0"/>
              <w:left w:val="nil"/>
              <w:bottom w:val="single" w:color="auto" w:sz="4" w:space="0"/>
              <w:right w:val="single" w:color="auto" w:sz="4" w:space="0"/>
            </w:tcBorders>
          </w:tcPr>
          <w:p>
            <w:pPr>
              <w:ind w:left="5"/>
              <w:jc w:val="right"/>
              <w:rPr>
                <w:rFonts w:ascii="宋体" w:hAnsi="宋体" w:cs="Arial"/>
                <w:color w:val="000000"/>
                <w:kern w:val="0"/>
                <w:sz w:val="22"/>
                <w:szCs w:val="22"/>
              </w:rPr>
            </w:pPr>
            <w:r>
              <w:rPr>
                <w:rFonts w:hint="eastAsia" w:ascii="宋体" w:hAnsi="宋体" w:cs="Arial"/>
                <w:color w:val="000000"/>
                <w:kern w:val="0"/>
                <w:sz w:val="22"/>
                <w:szCs w:val="22"/>
              </w:rPr>
              <w:t>1020.63</w:t>
            </w:r>
          </w:p>
        </w:tc>
        <w:tc>
          <w:tcPr>
            <w:tcW w:w="1355" w:type="dxa"/>
            <w:tcBorders>
              <w:top w:val="single" w:color="auto" w:sz="4" w:space="0"/>
              <w:left w:val="nil"/>
              <w:bottom w:val="single" w:color="auto" w:sz="4" w:space="0"/>
              <w:right w:val="single" w:color="auto" w:sz="4" w:space="0"/>
            </w:tcBorders>
          </w:tcPr>
          <w:p>
            <w:pPr>
              <w:ind w:left="5"/>
              <w:jc w:val="right"/>
              <w:rPr>
                <w:rFonts w:ascii="宋体" w:hAnsi="宋体" w:cs="Arial"/>
                <w:color w:val="000000"/>
                <w:kern w:val="0"/>
                <w:sz w:val="22"/>
                <w:szCs w:val="22"/>
              </w:rPr>
            </w:pPr>
            <w:r>
              <w:rPr>
                <w:rFonts w:hint="eastAsia" w:ascii="宋体" w:hAnsi="宋体" w:cs="Arial"/>
                <w:color w:val="000000"/>
                <w:kern w:val="0"/>
                <w:sz w:val="22"/>
                <w:szCs w:val="22"/>
              </w:rPr>
              <w:t>1020.63</w:t>
            </w:r>
          </w:p>
        </w:tc>
        <w:tc>
          <w:tcPr>
            <w:tcW w:w="1103" w:type="dxa"/>
            <w:tcBorders>
              <w:top w:val="single" w:color="auto" w:sz="4" w:space="0"/>
              <w:left w:val="nil"/>
              <w:bottom w:val="single" w:color="auto" w:sz="4" w:space="0"/>
              <w:right w:val="single" w:color="auto" w:sz="4" w:space="0"/>
            </w:tcBorders>
          </w:tcPr>
          <w:p>
            <w:pPr>
              <w:ind w:left="5"/>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pPr>
              <w:widowControl/>
              <w:ind w:firstLine="1400" w:firstLineChars="700"/>
              <w:jc w:val="left"/>
              <w:rPr>
                <w:rFonts w:ascii="宋体" w:hAnsi="宋体" w:cs="Arial"/>
                <w:color w:val="000000"/>
                <w:kern w:val="0"/>
                <w:sz w:val="20"/>
                <w:szCs w:val="20"/>
              </w:rPr>
            </w:pPr>
            <w:r>
              <w:rPr>
                <w:rFonts w:hint="eastAsia" w:ascii="宋体" w:hAnsi="宋体" w:cs="Arial"/>
                <w:color w:val="000000"/>
                <w:kern w:val="0"/>
                <w:sz w:val="20"/>
                <w:szCs w:val="20"/>
              </w:rPr>
              <w:t>一般公共预算财政拨款</w:t>
            </w:r>
          </w:p>
        </w:tc>
        <w:tc>
          <w:tcPr>
            <w:tcW w:w="52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351" w:type="dxa"/>
            <w:tcBorders>
              <w:top w:val="nil"/>
              <w:left w:val="nil"/>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1284.75</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75" w:type="dxa"/>
            <w:gridSpan w:val="2"/>
            <w:tcBorders>
              <w:top w:val="single" w:color="auto" w:sz="4" w:space="0"/>
              <w:left w:val="nil"/>
              <w:bottom w:val="single" w:color="auto" w:sz="4" w:space="0"/>
              <w:right w:val="single" w:color="auto" w:sz="4" w:space="0"/>
            </w:tcBorders>
          </w:tcPr>
          <w:p>
            <w:pPr>
              <w:widowControl/>
              <w:ind w:firstLine="2420" w:firstLineChars="1100"/>
              <w:jc w:val="right"/>
              <w:rPr>
                <w:rFonts w:ascii="宋体" w:hAnsi="宋体" w:cs="Arial"/>
                <w:color w:val="000000"/>
                <w:kern w:val="0"/>
                <w:sz w:val="22"/>
                <w:szCs w:val="22"/>
              </w:rPr>
            </w:pPr>
          </w:p>
        </w:tc>
        <w:tc>
          <w:tcPr>
            <w:tcW w:w="1355" w:type="dxa"/>
            <w:tcBorders>
              <w:top w:val="single" w:color="auto" w:sz="4" w:space="0"/>
              <w:left w:val="nil"/>
              <w:bottom w:val="single" w:color="auto" w:sz="4" w:space="0"/>
              <w:right w:val="single" w:color="auto" w:sz="4" w:space="0"/>
            </w:tcBorders>
          </w:tcPr>
          <w:p>
            <w:pPr>
              <w:widowControl/>
              <w:ind w:firstLine="2420" w:firstLineChars="1100"/>
              <w:jc w:val="right"/>
              <w:rPr>
                <w:rFonts w:ascii="宋体" w:hAnsi="宋体" w:cs="Arial"/>
                <w:color w:val="000000"/>
                <w:kern w:val="0"/>
                <w:sz w:val="22"/>
                <w:szCs w:val="22"/>
              </w:rPr>
            </w:pPr>
          </w:p>
        </w:tc>
        <w:tc>
          <w:tcPr>
            <w:tcW w:w="1103" w:type="dxa"/>
            <w:tcBorders>
              <w:top w:val="single" w:color="auto" w:sz="4" w:space="0"/>
              <w:left w:val="nil"/>
              <w:bottom w:val="single" w:color="auto" w:sz="4" w:space="0"/>
              <w:right w:val="single" w:color="auto" w:sz="4" w:space="0"/>
            </w:tcBorders>
          </w:tcPr>
          <w:p>
            <w:pPr>
              <w:widowControl/>
              <w:ind w:firstLine="2420" w:firstLineChars="110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pPr>
              <w:widowControl/>
              <w:ind w:firstLine="1400" w:firstLineChars="700"/>
              <w:jc w:val="left"/>
              <w:rPr>
                <w:rFonts w:ascii="宋体" w:hAnsi="宋体" w:cs="Arial"/>
                <w:color w:val="000000"/>
                <w:kern w:val="0"/>
                <w:sz w:val="20"/>
                <w:szCs w:val="20"/>
              </w:rPr>
            </w:pPr>
            <w:r>
              <w:rPr>
                <w:rFonts w:hint="eastAsia" w:ascii="宋体" w:hAnsi="宋体" w:cs="Arial"/>
                <w:color w:val="000000"/>
                <w:kern w:val="0"/>
                <w:sz w:val="20"/>
                <w:szCs w:val="20"/>
              </w:rPr>
              <w:t>政府性基金预算财政拨款</w:t>
            </w:r>
          </w:p>
        </w:tc>
        <w:tc>
          <w:tcPr>
            <w:tcW w:w="52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351" w:type="dxa"/>
            <w:tcBorders>
              <w:top w:val="nil"/>
              <w:left w:val="nil"/>
              <w:bottom w:val="single" w:color="auto" w:sz="4" w:space="0"/>
              <w:right w:val="single" w:color="auto" w:sz="4" w:space="0"/>
            </w:tcBorders>
          </w:tcPr>
          <w:p>
            <w:pPr>
              <w:widowControl/>
              <w:ind w:firstLine="440" w:firstLineChars="200"/>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1275" w:type="dxa"/>
            <w:gridSpan w:val="2"/>
            <w:tcBorders>
              <w:top w:val="single" w:color="auto" w:sz="4" w:space="0"/>
              <w:left w:val="nil"/>
              <w:bottom w:val="single" w:color="auto" w:sz="4" w:space="0"/>
              <w:right w:val="single" w:color="auto" w:sz="4" w:space="0"/>
            </w:tcBorders>
          </w:tcPr>
          <w:p>
            <w:pPr>
              <w:widowControl/>
              <w:ind w:firstLine="2420" w:firstLineChars="1100"/>
              <w:jc w:val="right"/>
              <w:rPr>
                <w:rFonts w:ascii="宋体" w:hAnsi="宋体" w:cs="Arial"/>
                <w:color w:val="000000"/>
                <w:kern w:val="0"/>
                <w:sz w:val="22"/>
                <w:szCs w:val="22"/>
              </w:rPr>
            </w:pPr>
          </w:p>
        </w:tc>
        <w:tc>
          <w:tcPr>
            <w:tcW w:w="1355" w:type="dxa"/>
            <w:tcBorders>
              <w:top w:val="single" w:color="auto" w:sz="4" w:space="0"/>
              <w:left w:val="nil"/>
              <w:bottom w:val="single" w:color="auto" w:sz="4" w:space="0"/>
              <w:right w:val="single" w:color="auto" w:sz="4" w:space="0"/>
            </w:tcBorders>
          </w:tcPr>
          <w:p>
            <w:pPr>
              <w:widowControl/>
              <w:ind w:firstLine="2420" w:firstLineChars="1100"/>
              <w:jc w:val="right"/>
              <w:rPr>
                <w:rFonts w:ascii="宋体" w:hAnsi="宋体" w:cs="Arial"/>
                <w:color w:val="000000"/>
                <w:kern w:val="0"/>
                <w:sz w:val="22"/>
                <w:szCs w:val="22"/>
              </w:rPr>
            </w:pPr>
          </w:p>
        </w:tc>
        <w:tc>
          <w:tcPr>
            <w:tcW w:w="1103" w:type="dxa"/>
            <w:tcBorders>
              <w:top w:val="single" w:color="auto" w:sz="4" w:space="0"/>
              <w:left w:val="nil"/>
              <w:bottom w:val="single" w:color="auto" w:sz="4" w:space="0"/>
              <w:right w:val="single" w:color="auto" w:sz="4" w:space="0"/>
            </w:tcBorders>
          </w:tcPr>
          <w:p>
            <w:pPr>
              <w:widowControl/>
              <w:ind w:firstLine="2420" w:firstLineChars="110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52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351" w:type="dxa"/>
            <w:tcBorders>
              <w:top w:val="nil"/>
              <w:left w:val="nil"/>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1275" w:type="dxa"/>
            <w:gridSpan w:val="2"/>
            <w:tcBorders>
              <w:top w:val="single" w:color="auto" w:sz="4" w:space="0"/>
              <w:left w:val="nil"/>
              <w:bottom w:val="single" w:color="auto" w:sz="4" w:space="0"/>
              <w:right w:val="single" w:color="auto" w:sz="4" w:space="0"/>
            </w:tcBorders>
          </w:tcPr>
          <w:p>
            <w:pPr>
              <w:widowControl/>
              <w:ind w:firstLine="2420" w:firstLineChars="1100"/>
              <w:jc w:val="right"/>
              <w:rPr>
                <w:rFonts w:ascii="宋体" w:hAnsi="宋体" w:cs="Arial"/>
                <w:color w:val="000000"/>
                <w:kern w:val="0"/>
                <w:sz w:val="22"/>
                <w:szCs w:val="22"/>
              </w:rPr>
            </w:pPr>
          </w:p>
        </w:tc>
        <w:tc>
          <w:tcPr>
            <w:tcW w:w="1355" w:type="dxa"/>
            <w:tcBorders>
              <w:top w:val="single" w:color="auto" w:sz="4" w:space="0"/>
              <w:left w:val="nil"/>
              <w:bottom w:val="single" w:color="auto" w:sz="4" w:space="0"/>
              <w:right w:val="single" w:color="auto" w:sz="4" w:space="0"/>
            </w:tcBorders>
          </w:tcPr>
          <w:p>
            <w:pPr>
              <w:widowControl/>
              <w:ind w:firstLine="2420" w:firstLineChars="1100"/>
              <w:jc w:val="right"/>
              <w:rPr>
                <w:rFonts w:ascii="宋体" w:hAnsi="宋体" w:cs="Arial"/>
                <w:color w:val="000000"/>
                <w:kern w:val="0"/>
                <w:sz w:val="22"/>
                <w:szCs w:val="22"/>
              </w:rPr>
            </w:pPr>
          </w:p>
        </w:tc>
        <w:tc>
          <w:tcPr>
            <w:tcW w:w="1103" w:type="dxa"/>
            <w:tcBorders>
              <w:top w:val="single" w:color="auto" w:sz="4" w:space="0"/>
              <w:left w:val="nil"/>
              <w:bottom w:val="single" w:color="auto" w:sz="4" w:space="0"/>
              <w:right w:val="single" w:color="auto" w:sz="4" w:space="0"/>
            </w:tcBorders>
          </w:tcPr>
          <w:p>
            <w:pPr>
              <w:widowControl/>
              <w:ind w:firstLine="2420" w:firstLineChars="110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4103"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52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351" w:type="dxa"/>
            <w:tcBorders>
              <w:top w:val="nil"/>
              <w:left w:val="nil"/>
              <w:bottom w:val="single" w:color="auto" w:sz="4" w:space="0"/>
              <w:right w:val="single" w:color="auto" w:sz="4" w:space="0"/>
            </w:tcBorders>
          </w:tcPr>
          <w:p>
            <w:pPr>
              <w:widowControl/>
              <w:ind w:firstLine="110" w:firstLineChars="50"/>
              <w:jc w:val="right"/>
              <w:rPr>
                <w:rFonts w:ascii="宋体" w:hAnsi="宋体" w:cs="Arial"/>
                <w:color w:val="000000"/>
                <w:kern w:val="0"/>
                <w:sz w:val="22"/>
                <w:szCs w:val="22"/>
              </w:rPr>
            </w:pPr>
            <w:r>
              <w:rPr>
                <w:rFonts w:hint="eastAsia" w:ascii="宋体" w:hAnsi="宋体" w:cs="Arial"/>
                <w:color w:val="000000"/>
                <w:kern w:val="0"/>
                <w:sz w:val="22"/>
                <w:szCs w:val="22"/>
              </w:rPr>
              <w:t>8050.50</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1275" w:type="dxa"/>
            <w:gridSpan w:val="2"/>
            <w:tcBorders>
              <w:top w:val="single" w:color="auto" w:sz="4" w:space="0"/>
              <w:left w:val="nil"/>
              <w:bottom w:val="single" w:color="auto" w:sz="4" w:space="0"/>
              <w:right w:val="single" w:color="auto" w:sz="4" w:space="0"/>
            </w:tcBorders>
          </w:tcPr>
          <w:p>
            <w:pPr>
              <w:ind w:left="225"/>
              <w:jc w:val="right"/>
              <w:rPr>
                <w:rFonts w:ascii="宋体" w:hAnsi="宋体" w:cs="Arial"/>
                <w:color w:val="000000"/>
                <w:kern w:val="0"/>
                <w:sz w:val="22"/>
                <w:szCs w:val="22"/>
              </w:rPr>
            </w:pPr>
            <w:r>
              <w:rPr>
                <w:rFonts w:hint="eastAsia" w:ascii="宋体" w:hAnsi="宋体" w:cs="Arial"/>
                <w:color w:val="000000"/>
                <w:kern w:val="0"/>
                <w:sz w:val="22"/>
                <w:szCs w:val="22"/>
              </w:rPr>
              <w:t>8050.50</w:t>
            </w:r>
          </w:p>
        </w:tc>
        <w:tc>
          <w:tcPr>
            <w:tcW w:w="1355" w:type="dxa"/>
            <w:tcBorders>
              <w:top w:val="single" w:color="auto" w:sz="4" w:space="0"/>
              <w:left w:val="nil"/>
              <w:bottom w:val="single" w:color="auto" w:sz="4" w:space="0"/>
              <w:right w:val="single" w:color="auto" w:sz="4" w:space="0"/>
            </w:tcBorders>
          </w:tcPr>
          <w:p>
            <w:pPr>
              <w:ind w:left="225"/>
              <w:jc w:val="right"/>
              <w:rPr>
                <w:rFonts w:ascii="宋体" w:hAnsi="宋体" w:cs="Arial"/>
                <w:color w:val="000000"/>
                <w:kern w:val="0"/>
                <w:sz w:val="22"/>
                <w:szCs w:val="22"/>
              </w:rPr>
            </w:pPr>
            <w:r>
              <w:rPr>
                <w:rFonts w:hint="eastAsia" w:ascii="宋体" w:hAnsi="宋体" w:cs="Arial"/>
                <w:color w:val="000000"/>
                <w:kern w:val="0"/>
                <w:sz w:val="22"/>
                <w:szCs w:val="22"/>
              </w:rPr>
              <w:t>8050.50</w:t>
            </w:r>
          </w:p>
        </w:tc>
        <w:tc>
          <w:tcPr>
            <w:tcW w:w="1103" w:type="dxa"/>
            <w:tcBorders>
              <w:top w:val="single" w:color="auto" w:sz="4" w:space="0"/>
              <w:left w:val="nil"/>
              <w:bottom w:val="single" w:color="auto" w:sz="4" w:space="0"/>
              <w:right w:val="single" w:color="auto" w:sz="4" w:space="0"/>
            </w:tcBorders>
          </w:tcPr>
          <w:p>
            <w:pPr>
              <w:ind w:left="225"/>
              <w:jc w:val="right"/>
              <w:rPr>
                <w:rFonts w:ascii="宋体" w:hAnsi="宋体" w:cs="Arial"/>
                <w:color w:val="000000"/>
                <w:kern w:val="0"/>
                <w:sz w:val="22"/>
                <w:szCs w:val="22"/>
              </w:rPr>
            </w:pPr>
          </w:p>
        </w:tc>
      </w:tr>
    </w:tbl>
    <w:p>
      <w:pPr>
        <w:ind w:firstLine="840" w:firstLineChars="400"/>
        <w:rPr>
          <w:color w:val="000000"/>
        </w:rPr>
      </w:pPr>
      <w:r>
        <w:rPr>
          <w:rFonts w:hint="eastAsia"/>
          <w:color w:val="000000"/>
        </w:rPr>
        <w:t>注：本表反映部门本年度一般公共预算财政拨款和政府性基金预算财政拨款的总收支和年末结转结余情况。</w:t>
      </w: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ind w:right="880"/>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6"/>
        <w:tblW w:w="13479" w:type="dxa"/>
        <w:jc w:val="center"/>
        <w:tblLayout w:type="fixed"/>
        <w:tblCellMar>
          <w:top w:w="0" w:type="dxa"/>
          <w:left w:w="108" w:type="dxa"/>
          <w:bottom w:w="0" w:type="dxa"/>
          <w:right w:w="108" w:type="dxa"/>
        </w:tblCellMar>
      </w:tblPr>
      <w:tblGrid>
        <w:gridCol w:w="1283"/>
        <w:gridCol w:w="3000"/>
        <w:gridCol w:w="2900"/>
        <w:gridCol w:w="2900"/>
        <w:gridCol w:w="3396"/>
      </w:tblGrid>
      <w:tr>
        <w:tblPrEx>
          <w:tblCellMar>
            <w:top w:w="0" w:type="dxa"/>
            <w:left w:w="108" w:type="dxa"/>
            <w:bottom w:w="0" w:type="dxa"/>
            <w:right w:w="108" w:type="dxa"/>
          </w:tblCellMar>
        </w:tblPrEx>
        <w:trPr>
          <w:trHeight w:val="300" w:hRule="atLeast"/>
          <w:tblHeader/>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项目支出</w:t>
            </w:r>
          </w:p>
        </w:tc>
      </w:tr>
      <w:tr>
        <w:tblPrEx>
          <w:tblCellMar>
            <w:top w:w="0" w:type="dxa"/>
            <w:left w:w="108" w:type="dxa"/>
            <w:bottom w:w="0" w:type="dxa"/>
            <w:right w:w="108" w:type="dxa"/>
          </w:tblCellMar>
        </w:tblPrEx>
        <w:trPr>
          <w:trHeight w:val="300" w:hRule="atLeast"/>
          <w:tblHeader/>
          <w:jc w:val="center"/>
        </w:trPr>
        <w:tc>
          <w:tcPr>
            <w:tcW w:w="1283" w:type="dxa"/>
            <w:tcBorders>
              <w:top w:val="nil"/>
              <w:left w:val="single" w:color="auto" w:sz="4" w:space="0"/>
              <w:bottom w:val="single" w:color="auto" w:sz="4" w:space="0"/>
              <w:right w:val="single" w:color="auto" w:sz="4" w:space="0"/>
            </w:tcBorders>
            <w:vAlign w:val="center"/>
          </w:tcPr>
          <w:p>
            <w:pPr>
              <w:widowControl/>
              <w:jc w:val="center"/>
              <w:rPr>
                <w:rFonts w:ascii="MingLiU" w:hAnsi="MingLiU" w:eastAsia="MingLiU" w:cs="Arial"/>
                <w:kern w:val="0"/>
                <w:sz w:val="22"/>
                <w:szCs w:val="22"/>
              </w:rPr>
            </w:pP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pStyle w:val="3"/>
              <w:jc w:val="right"/>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vAlign w:val="center"/>
          </w:tcPr>
          <w:p>
            <w:pPr>
              <w:pStyle w:val="3"/>
              <w:jc w:val="right"/>
            </w:pPr>
            <w: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7029.87</w:t>
            </w:r>
          </w:p>
        </w:tc>
        <w:tc>
          <w:tcPr>
            <w:tcW w:w="2900" w:type="dxa"/>
            <w:tcBorders>
              <w:top w:val="nil"/>
              <w:left w:val="nil"/>
              <w:bottom w:val="single" w:color="auto" w:sz="4" w:space="0"/>
              <w:right w:val="single" w:color="auto" w:sz="4" w:space="0"/>
            </w:tcBorders>
            <w:vAlign w:val="center"/>
          </w:tcPr>
          <w:p>
            <w:pPr>
              <w:widowControl/>
              <w:ind w:firstLine="1900" w:firstLineChars="950"/>
              <w:jc w:val="right"/>
              <w:rPr>
                <w:rFonts w:ascii="Arial" w:hAnsi="Arial" w:cs="Arial"/>
                <w:color w:val="000000"/>
                <w:kern w:val="0"/>
                <w:sz w:val="20"/>
                <w:szCs w:val="20"/>
              </w:rPr>
            </w:pPr>
            <w:r>
              <w:rPr>
                <w:rFonts w:hint="eastAsia" w:ascii="Arial" w:hAnsi="Arial" w:cs="Arial"/>
                <w:color w:val="000000"/>
                <w:kern w:val="0"/>
                <w:sz w:val="20"/>
                <w:szCs w:val="20"/>
              </w:rPr>
              <w:t>4483.28</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2546.59</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201</w:t>
            </w:r>
          </w:p>
        </w:tc>
        <w:tc>
          <w:tcPr>
            <w:tcW w:w="3000"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一般公共服务支出</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5446.14</w:t>
            </w:r>
          </w:p>
        </w:tc>
        <w:tc>
          <w:tcPr>
            <w:tcW w:w="290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3453.48</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1992.66</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财政事务</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5446.14</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cs="Arial"/>
                <w:color w:val="000000"/>
                <w:sz w:val="22"/>
                <w:szCs w:val="22"/>
              </w:rPr>
              <w:t>3453.48</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1992.66</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2010601</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2615.84</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2615.84</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2010602</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一般行政管理事务</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1097.88</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501.58</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596.30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2010605</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财政国库业务</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925.72</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49.72</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876</w:t>
            </w:r>
          </w:p>
        </w:tc>
      </w:tr>
      <w:tr>
        <w:tblPrEx>
          <w:tblCellMar>
            <w:top w:w="0" w:type="dxa"/>
            <w:left w:w="108" w:type="dxa"/>
            <w:bottom w:w="0" w:type="dxa"/>
            <w:right w:w="108" w:type="dxa"/>
          </w:tblCellMar>
        </w:tblPrEx>
        <w:trPr>
          <w:trHeight w:val="444" w:hRule="atLeast"/>
          <w:jc w:val="center"/>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2010650</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事业运行</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657.25</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271.68</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385.57</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2010699</w:t>
            </w:r>
          </w:p>
        </w:tc>
        <w:tc>
          <w:tcPr>
            <w:tcW w:w="3000"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其他财政事务支出</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149.45</w:t>
            </w:r>
          </w:p>
        </w:tc>
        <w:tc>
          <w:tcPr>
            <w:tcW w:w="290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14.66</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134.79</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社会保障和就业支出</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524.53</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524.53</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行政事业单位离退休</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524.53</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524.53</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2080501</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行政单位离退休</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100.87</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100.87</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2080502</w:t>
            </w:r>
          </w:p>
        </w:tc>
        <w:tc>
          <w:tcPr>
            <w:tcW w:w="3000"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事业单位离退休</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23.24</w:t>
            </w:r>
          </w:p>
        </w:tc>
        <w:tc>
          <w:tcPr>
            <w:tcW w:w="290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23.24</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2080505</w:t>
            </w:r>
          </w:p>
        </w:tc>
        <w:tc>
          <w:tcPr>
            <w:tcW w:w="3000"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机关事业单位基本养老保险缴费支出</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400.42</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400.42</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医疗卫生与计划生育支出</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216.86</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216.86</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21011</w:t>
            </w:r>
          </w:p>
        </w:tc>
        <w:tc>
          <w:tcPr>
            <w:tcW w:w="3000"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行政事业单位医疗</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216.86</w:t>
            </w:r>
          </w:p>
        </w:tc>
        <w:tc>
          <w:tcPr>
            <w:tcW w:w="290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ascii="宋体" w:hAnsi="宋体" w:cs="Arial"/>
                <w:color w:val="000000"/>
                <w:sz w:val="22"/>
                <w:szCs w:val="22"/>
              </w:rPr>
              <w:t>216.86</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2101101</w:t>
            </w:r>
          </w:p>
        </w:tc>
        <w:tc>
          <w:tcPr>
            <w:tcW w:w="3000"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行政单位医疗</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136.86</w:t>
            </w:r>
          </w:p>
        </w:tc>
        <w:tc>
          <w:tcPr>
            <w:tcW w:w="2900" w:type="dxa"/>
            <w:tcBorders>
              <w:top w:val="nil"/>
              <w:left w:val="nil"/>
              <w:bottom w:val="single" w:color="auto" w:sz="4" w:space="0"/>
              <w:right w:val="single" w:color="auto" w:sz="4" w:space="0"/>
            </w:tcBorders>
            <w:vAlign w:val="center"/>
          </w:tcPr>
          <w:p>
            <w:pPr>
              <w:jc w:val="right"/>
              <w:rPr>
                <w:rFonts w:cs="Arial"/>
                <w:color w:val="000000"/>
                <w:sz w:val="22"/>
                <w:szCs w:val="22"/>
              </w:rPr>
            </w:pPr>
            <w:r>
              <w:rPr>
                <w:rFonts w:hint="eastAsia" w:cs="Arial"/>
                <w:color w:val="000000"/>
                <w:sz w:val="22"/>
                <w:szCs w:val="22"/>
              </w:rPr>
              <w:t>136.86</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2101102</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20.38</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20.38</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78"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2101103</w:t>
            </w:r>
          </w:p>
        </w:tc>
        <w:tc>
          <w:tcPr>
            <w:tcW w:w="3000" w:type="dxa"/>
            <w:tcBorders>
              <w:top w:val="single" w:color="auto" w:sz="4" w:space="0"/>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公务员医疗补助</w:t>
            </w:r>
          </w:p>
        </w:tc>
        <w:tc>
          <w:tcPr>
            <w:tcW w:w="2900"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59.55</w:t>
            </w:r>
          </w:p>
        </w:tc>
        <w:tc>
          <w:tcPr>
            <w:tcW w:w="2900"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59.55</w:t>
            </w:r>
          </w:p>
        </w:tc>
        <w:tc>
          <w:tcPr>
            <w:tcW w:w="3396"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78"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2101199</w:t>
            </w:r>
          </w:p>
        </w:tc>
        <w:tc>
          <w:tcPr>
            <w:tcW w:w="3000" w:type="dxa"/>
            <w:tcBorders>
              <w:top w:val="single" w:color="auto" w:sz="4" w:space="0"/>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其他行政事业单位医疗支出</w:t>
            </w:r>
          </w:p>
        </w:tc>
        <w:tc>
          <w:tcPr>
            <w:tcW w:w="2900"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0.07</w:t>
            </w:r>
          </w:p>
        </w:tc>
        <w:tc>
          <w:tcPr>
            <w:tcW w:w="2900"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0.07</w:t>
            </w:r>
          </w:p>
        </w:tc>
        <w:tc>
          <w:tcPr>
            <w:tcW w:w="3396"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78"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212</w:t>
            </w:r>
          </w:p>
        </w:tc>
        <w:tc>
          <w:tcPr>
            <w:tcW w:w="3000" w:type="dxa"/>
            <w:tcBorders>
              <w:top w:val="single" w:color="auto" w:sz="4" w:space="0"/>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城乡社区支出</w:t>
            </w:r>
          </w:p>
        </w:tc>
        <w:tc>
          <w:tcPr>
            <w:tcW w:w="2900"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531.73</w:t>
            </w:r>
          </w:p>
        </w:tc>
        <w:tc>
          <w:tcPr>
            <w:tcW w:w="2900"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9.8</w:t>
            </w:r>
          </w:p>
        </w:tc>
        <w:tc>
          <w:tcPr>
            <w:tcW w:w="3396"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521.93</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21202</w:t>
            </w:r>
          </w:p>
        </w:tc>
        <w:tc>
          <w:tcPr>
            <w:tcW w:w="3000"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城乡社区规划与管理</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9.8</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9.8</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2120201</w:t>
            </w:r>
          </w:p>
        </w:tc>
        <w:tc>
          <w:tcPr>
            <w:tcW w:w="3000"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城乡社区规划与管理</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9.8</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9.8</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21203</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城乡社区公共设施</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521.93</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521.93</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2120399</w:t>
            </w:r>
          </w:p>
        </w:tc>
        <w:tc>
          <w:tcPr>
            <w:tcW w:w="3000"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其他城乡社区公共设施</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521.93</w:t>
            </w:r>
          </w:p>
        </w:tc>
        <w:tc>
          <w:tcPr>
            <w:tcW w:w="2900" w:type="dxa"/>
            <w:tcBorders>
              <w:top w:val="nil"/>
              <w:left w:val="nil"/>
              <w:bottom w:val="single" w:color="auto" w:sz="4" w:space="0"/>
              <w:right w:val="single" w:color="auto" w:sz="4" w:space="0"/>
            </w:tcBorders>
            <w:vAlign w:val="center"/>
          </w:tcPr>
          <w:p>
            <w:pPr>
              <w:jc w:val="right"/>
              <w:rPr>
                <w:rFonts w:cs="Arial"/>
                <w:color w:val="000000"/>
                <w:sz w:val="22"/>
                <w:szCs w:val="22"/>
              </w:rPr>
            </w:pP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521.93</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农林水支出</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53.79</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21.79</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32</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21301</w:t>
            </w:r>
          </w:p>
        </w:tc>
        <w:tc>
          <w:tcPr>
            <w:tcW w:w="3000"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农业</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2130199</w:t>
            </w:r>
          </w:p>
        </w:tc>
        <w:tc>
          <w:tcPr>
            <w:tcW w:w="3000" w:type="dxa"/>
            <w:tcBorders>
              <w:top w:val="nil"/>
              <w:left w:val="nil"/>
              <w:bottom w:val="single" w:color="auto" w:sz="4" w:space="0"/>
              <w:right w:val="single" w:color="auto" w:sz="4" w:space="0"/>
            </w:tcBorders>
            <w:vAlign w:val="center"/>
          </w:tcPr>
          <w:p>
            <w:pPr>
              <w:ind w:firstLine="440" w:firstLineChars="200"/>
              <w:rPr>
                <w:rFonts w:cs="Arial"/>
                <w:color w:val="000000"/>
                <w:sz w:val="22"/>
                <w:szCs w:val="22"/>
              </w:rPr>
            </w:pPr>
            <w:r>
              <w:rPr>
                <w:rFonts w:hint="eastAsia" w:cs="Arial"/>
                <w:color w:val="000000"/>
                <w:sz w:val="22"/>
                <w:szCs w:val="22"/>
              </w:rPr>
              <w:t>其他农业支出</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21305</w:t>
            </w:r>
          </w:p>
        </w:tc>
        <w:tc>
          <w:tcPr>
            <w:tcW w:w="3000"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扶贫</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6.45</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6.45</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2130599</w:t>
            </w:r>
          </w:p>
        </w:tc>
        <w:tc>
          <w:tcPr>
            <w:tcW w:w="3000"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其他扶贫支出</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6.45</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6.45</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21306</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农业综合开发</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7.34</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7.34</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2130601</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机构运行</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7.34</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7.34</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21307</w:t>
            </w:r>
          </w:p>
        </w:tc>
        <w:tc>
          <w:tcPr>
            <w:tcW w:w="3000"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农村综合改革</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35</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3</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32</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2130799</w:t>
            </w:r>
          </w:p>
        </w:tc>
        <w:tc>
          <w:tcPr>
            <w:tcW w:w="3000"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 xml:space="preserve">  其他农村综合改革支出</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35</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3</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32</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215</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资源勘探信息等支出</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0.32</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0.32</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21502</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制造业</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0.32</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0.32</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2150299</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其他制造业支出</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0.32</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0.32</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221</w:t>
            </w:r>
          </w:p>
        </w:tc>
        <w:tc>
          <w:tcPr>
            <w:tcW w:w="3000" w:type="dxa"/>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住房保障支出</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256.50</w:t>
            </w:r>
          </w:p>
        </w:tc>
        <w:tc>
          <w:tcPr>
            <w:tcW w:w="2900" w:type="dxa"/>
            <w:tcBorders>
              <w:top w:val="nil"/>
              <w:left w:val="nil"/>
              <w:bottom w:val="single" w:color="auto" w:sz="4" w:space="0"/>
              <w:right w:val="single" w:color="auto" w:sz="4" w:space="0"/>
            </w:tcBorders>
            <w:vAlign w:val="center"/>
          </w:tcPr>
          <w:p>
            <w:pPr>
              <w:widowControl/>
              <w:ind w:firstLine="2000" w:firstLineChars="1000"/>
              <w:jc w:val="right"/>
              <w:rPr>
                <w:rFonts w:ascii="Arial" w:hAnsi="Arial" w:cs="Arial"/>
                <w:color w:val="000000"/>
                <w:kern w:val="0"/>
                <w:sz w:val="20"/>
                <w:szCs w:val="20"/>
              </w:rPr>
            </w:pPr>
            <w:r>
              <w:rPr>
                <w:rFonts w:hint="eastAsia" w:ascii="Arial" w:hAnsi="Arial" w:cs="Arial"/>
                <w:color w:val="000000"/>
                <w:kern w:val="0"/>
                <w:sz w:val="20"/>
                <w:szCs w:val="20"/>
              </w:rPr>
              <w:t>256.50</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住房改革支出</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256.50</w:t>
            </w:r>
          </w:p>
        </w:tc>
        <w:tc>
          <w:tcPr>
            <w:tcW w:w="2900" w:type="dxa"/>
            <w:tcBorders>
              <w:top w:val="nil"/>
              <w:left w:val="nil"/>
              <w:bottom w:val="single" w:color="auto" w:sz="4" w:space="0"/>
              <w:right w:val="single" w:color="auto" w:sz="4" w:space="0"/>
            </w:tcBorders>
            <w:vAlign w:val="center"/>
          </w:tcPr>
          <w:p>
            <w:pPr>
              <w:widowControl/>
              <w:ind w:firstLine="2000" w:firstLineChars="1000"/>
              <w:jc w:val="right"/>
              <w:rPr>
                <w:rFonts w:ascii="宋体" w:hAnsi="宋体" w:cs="Arial"/>
                <w:color w:val="000000"/>
                <w:sz w:val="22"/>
                <w:szCs w:val="22"/>
              </w:rPr>
            </w:pPr>
            <w:r>
              <w:rPr>
                <w:rFonts w:hint="eastAsia" w:ascii="Arial" w:hAnsi="Arial" w:cs="Arial"/>
                <w:color w:val="000000"/>
                <w:kern w:val="0"/>
                <w:sz w:val="20"/>
                <w:szCs w:val="20"/>
              </w:rPr>
              <w:t>256.50</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2210201</w:t>
            </w:r>
          </w:p>
        </w:tc>
        <w:tc>
          <w:tcPr>
            <w:tcW w:w="3000" w:type="dxa"/>
            <w:tcBorders>
              <w:top w:val="single" w:color="auto" w:sz="4" w:space="0"/>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2900"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251.28</w:t>
            </w:r>
          </w:p>
        </w:tc>
        <w:tc>
          <w:tcPr>
            <w:tcW w:w="2900"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251.28</w:t>
            </w:r>
          </w:p>
        </w:tc>
        <w:tc>
          <w:tcPr>
            <w:tcW w:w="3396" w:type="dxa"/>
            <w:tcBorders>
              <w:top w:val="single" w:color="auto" w:sz="4" w:space="0"/>
              <w:left w:val="nil"/>
              <w:bottom w:val="single" w:color="auto" w:sz="4" w:space="0"/>
              <w:right w:val="single" w:color="auto" w:sz="4" w:space="0"/>
            </w:tcBorders>
            <w:vAlign w:val="center"/>
          </w:tcPr>
          <w:p>
            <w:pPr>
              <w:jc w:val="right"/>
              <w:rPr>
                <w:rFonts w:ascii="宋体" w:hAnsi="宋体" w:cs="Arial"/>
                <w:color w:val="00000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2210203</w:t>
            </w:r>
          </w:p>
        </w:tc>
        <w:tc>
          <w:tcPr>
            <w:tcW w:w="3000" w:type="dxa"/>
            <w:tcBorders>
              <w:top w:val="nil"/>
              <w:left w:val="nil"/>
              <w:bottom w:val="single" w:color="auto" w:sz="4" w:space="0"/>
              <w:right w:val="single" w:color="auto" w:sz="4" w:space="0"/>
            </w:tcBorders>
            <w:vAlign w:val="center"/>
          </w:tcPr>
          <w:p>
            <w:pPr>
              <w:rPr>
                <w:rFonts w:ascii="宋体" w:hAnsi="宋体" w:cs="Arial"/>
                <w:color w:val="000000"/>
                <w:sz w:val="22"/>
                <w:szCs w:val="22"/>
              </w:rPr>
            </w:pPr>
            <w:r>
              <w:rPr>
                <w:rFonts w:hint="eastAsia" w:cs="Arial"/>
                <w:color w:val="000000"/>
                <w:sz w:val="22"/>
                <w:szCs w:val="22"/>
              </w:rPr>
              <w:t xml:space="preserve">  购房补贴</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5.22</w:t>
            </w:r>
          </w:p>
        </w:tc>
        <w:tc>
          <w:tcPr>
            <w:tcW w:w="2900"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r>
              <w:rPr>
                <w:rFonts w:hint="eastAsia" w:ascii="宋体" w:hAnsi="宋体" w:cs="Arial"/>
                <w:color w:val="000000"/>
                <w:sz w:val="22"/>
                <w:szCs w:val="22"/>
              </w:rPr>
              <w:t>5.22</w:t>
            </w:r>
          </w:p>
        </w:tc>
        <w:tc>
          <w:tcPr>
            <w:tcW w:w="3396" w:type="dxa"/>
            <w:tcBorders>
              <w:top w:val="nil"/>
              <w:left w:val="nil"/>
              <w:bottom w:val="single" w:color="auto" w:sz="4" w:space="0"/>
              <w:right w:val="single" w:color="auto" w:sz="4" w:space="0"/>
            </w:tcBorders>
            <w:vAlign w:val="center"/>
          </w:tcPr>
          <w:p>
            <w:pPr>
              <w:jc w:val="right"/>
              <w:rPr>
                <w:rFonts w:ascii="宋体" w:hAnsi="宋体" w:cs="Arial"/>
                <w:color w:val="000000"/>
                <w:sz w:val="22"/>
                <w:szCs w:val="22"/>
              </w:rPr>
            </w:pPr>
          </w:p>
        </w:tc>
      </w:tr>
    </w:tbl>
    <w:p>
      <w:pPr>
        <w:ind w:firstLine="210" w:firstLineChars="100"/>
      </w:pPr>
      <w:r>
        <w:rPr>
          <w:rFonts w:hint="eastAsia"/>
        </w:rPr>
        <w:t>注：本表反映部门本年度一般公共预算财政拨款实际支出情况。</w:t>
      </w:r>
    </w:p>
    <w:p>
      <w:pPr>
        <w:sectPr>
          <w:pgSz w:w="16838" w:h="11906" w:orient="landscape"/>
          <w:pgMar w:top="1797" w:right="1440" w:bottom="1797" w:left="1440" w:header="851" w:footer="992" w:gutter="0"/>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wordWrap w:val="0"/>
        <w:jc w:val="right"/>
        <w:rPr>
          <w:rFonts w:ascii="宋体" w:hAnsi="宋体" w:cs="宋体"/>
          <w:kern w:val="0"/>
          <w:sz w:val="22"/>
          <w:szCs w:val="22"/>
        </w:rPr>
      </w:pPr>
      <w:r>
        <w:rPr>
          <w:rFonts w:hint="eastAsia" w:ascii="宋体" w:hAnsi="宋体" w:cs="宋体"/>
          <w:kern w:val="0"/>
          <w:sz w:val="22"/>
          <w:szCs w:val="22"/>
        </w:rPr>
        <w:t xml:space="preserve">      单位：万元</w:t>
      </w:r>
    </w:p>
    <w:tbl>
      <w:tblPr>
        <w:tblStyle w:val="6"/>
        <w:tblW w:w="9498" w:type="dxa"/>
        <w:tblInd w:w="-601" w:type="dxa"/>
        <w:tblLayout w:type="fixed"/>
        <w:tblCellMar>
          <w:top w:w="0" w:type="dxa"/>
          <w:left w:w="108" w:type="dxa"/>
          <w:bottom w:w="0" w:type="dxa"/>
          <w:right w:w="108" w:type="dxa"/>
        </w:tblCellMar>
      </w:tblPr>
      <w:tblGrid>
        <w:gridCol w:w="1418"/>
        <w:gridCol w:w="2835"/>
        <w:gridCol w:w="992"/>
        <w:gridCol w:w="993"/>
        <w:gridCol w:w="2268"/>
        <w:gridCol w:w="992"/>
      </w:tblGrid>
      <w:tr>
        <w:tblPrEx>
          <w:tblCellMar>
            <w:top w:w="0" w:type="dxa"/>
            <w:left w:w="108" w:type="dxa"/>
            <w:bottom w:w="0" w:type="dxa"/>
            <w:right w:w="108" w:type="dxa"/>
          </w:tblCellMar>
        </w:tblPrEx>
        <w:trPr>
          <w:trHeight w:val="564" w:hRule="atLeast"/>
        </w:trPr>
        <w:tc>
          <w:tcPr>
            <w:tcW w:w="524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25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1418"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83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992"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99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268"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992"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1418" w:type="dxa"/>
            <w:tcBorders>
              <w:top w:val="nil"/>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301</w:t>
            </w: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3238.27</w:t>
            </w:r>
          </w:p>
        </w:tc>
        <w:tc>
          <w:tcPr>
            <w:tcW w:w="99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999.26</w:t>
            </w:r>
          </w:p>
        </w:tc>
      </w:tr>
      <w:tr>
        <w:tblPrEx>
          <w:tblCellMar>
            <w:top w:w="0" w:type="dxa"/>
            <w:left w:w="108" w:type="dxa"/>
            <w:bottom w:w="0" w:type="dxa"/>
            <w:right w:w="108" w:type="dxa"/>
          </w:tblCellMar>
        </w:tblPrEx>
        <w:trPr>
          <w:trHeight w:val="264" w:hRule="atLeast"/>
        </w:trPr>
        <w:tc>
          <w:tcPr>
            <w:tcW w:w="1418" w:type="dxa"/>
            <w:tcBorders>
              <w:top w:val="nil"/>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30101</w:t>
            </w: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基本工资</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821.05</w:t>
            </w:r>
          </w:p>
        </w:tc>
        <w:tc>
          <w:tcPr>
            <w:tcW w:w="99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226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52.80</w:t>
            </w:r>
          </w:p>
        </w:tc>
      </w:tr>
      <w:tr>
        <w:tblPrEx>
          <w:tblCellMar>
            <w:top w:w="0" w:type="dxa"/>
            <w:left w:w="108" w:type="dxa"/>
            <w:bottom w:w="0" w:type="dxa"/>
            <w:right w:w="108" w:type="dxa"/>
          </w:tblCellMar>
        </w:tblPrEx>
        <w:trPr>
          <w:trHeight w:val="264" w:hRule="atLeast"/>
        </w:trPr>
        <w:tc>
          <w:tcPr>
            <w:tcW w:w="1418" w:type="dxa"/>
            <w:tcBorders>
              <w:top w:val="nil"/>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30102</w:t>
            </w: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津贴补贴</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567.94</w:t>
            </w:r>
          </w:p>
        </w:tc>
        <w:tc>
          <w:tcPr>
            <w:tcW w:w="99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226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7.44</w:t>
            </w:r>
          </w:p>
        </w:tc>
      </w:tr>
      <w:tr>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30103</w:t>
            </w: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奖金</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765.47</w:t>
            </w:r>
          </w:p>
        </w:tc>
        <w:tc>
          <w:tcPr>
            <w:tcW w:w="99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30203</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6.05</w:t>
            </w:r>
          </w:p>
        </w:tc>
      </w:tr>
      <w:tr>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30106</w:t>
            </w: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伙食补助费</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29.33</w:t>
            </w:r>
          </w:p>
        </w:tc>
        <w:tc>
          <w:tcPr>
            <w:tcW w:w="99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30204</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0.01</w:t>
            </w:r>
          </w:p>
        </w:tc>
      </w:tr>
      <w:tr>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30107</w:t>
            </w: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绩效工资</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66.44</w:t>
            </w:r>
          </w:p>
        </w:tc>
        <w:tc>
          <w:tcPr>
            <w:tcW w:w="99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30205</w:t>
            </w:r>
          </w:p>
        </w:tc>
        <w:tc>
          <w:tcPr>
            <w:tcW w:w="226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5.87</w:t>
            </w:r>
          </w:p>
        </w:tc>
      </w:tr>
      <w:tr>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30108</w:t>
            </w: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18"/>
                <w:szCs w:val="18"/>
              </w:rPr>
              <w:t>机关事业单位基本养老保险缴费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418.62</w:t>
            </w:r>
          </w:p>
        </w:tc>
        <w:tc>
          <w:tcPr>
            <w:tcW w:w="99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30206</w:t>
            </w:r>
          </w:p>
        </w:tc>
        <w:tc>
          <w:tcPr>
            <w:tcW w:w="226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46.23</w:t>
            </w:r>
          </w:p>
        </w:tc>
      </w:tr>
      <w:tr>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30110</w:t>
            </w: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18"/>
                <w:szCs w:val="18"/>
              </w:rPr>
            </w:pPr>
            <w:r>
              <w:rPr>
                <w:rFonts w:hint="eastAsia" w:ascii="宋体" w:hAnsi="宋体" w:cs="Arial"/>
                <w:color w:val="000000"/>
                <w:kern w:val="0"/>
                <w:sz w:val="22"/>
                <w:szCs w:val="22"/>
              </w:rPr>
              <w:t>职工基本医疗保险缴费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145</w:t>
            </w:r>
          </w:p>
        </w:tc>
        <w:tc>
          <w:tcPr>
            <w:tcW w:w="99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30207</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53.92</w:t>
            </w:r>
          </w:p>
        </w:tc>
      </w:tr>
      <w:tr>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30111</w:t>
            </w: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公务员医疗补助缴费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66.09</w:t>
            </w:r>
          </w:p>
        </w:tc>
        <w:tc>
          <w:tcPr>
            <w:tcW w:w="99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30209</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80.62</w:t>
            </w:r>
          </w:p>
        </w:tc>
      </w:tr>
      <w:tr>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30112</w:t>
            </w: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其他社会保障缴费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42.43</w:t>
            </w:r>
          </w:p>
        </w:tc>
        <w:tc>
          <w:tcPr>
            <w:tcW w:w="99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30211</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18"/>
                <w:szCs w:val="18"/>
              </w:rPr>
            </w:pPr>
            <w:r>
              <w:rPr>
                <w:rFonts w:hint="eastAsia" w:ascii="宋体" w:hAnsi="宋体" w:cs="Arial"/>
                <w:color w:val="000000"/>
                <w:kern w:val="0"/>
                <w:sz w:val="22"/>
                <w:szCs w:val="22"/>
              </w:rPr>
              <w:t>差旅费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94.44</w:t>
            </w:r>
          </w:p>
        </w:tc>
      </w:tr>
      <w:tr>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30113</w:t>
            </w: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257.75</w:t>
            </w:r>
          </w:p>
        </w:tc>
        <w:tc>
          <w:tcPr>
            <w:tcW w:w="99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30212</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18"/>
                <w:szCs w:val="18"/>
              </w:rPr>
              <w:t>因公出国（境）费</w:t>
            </w:r>
          </w:p>
        </w:tc>
        <w:tc>
          <w:tcPr>
            <w:tcW w:w="992"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13.25</w:t>
            </w:r>
          </w:p>
        </w:tc>
      </w:tr>
      <w:tr>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30114</w:t>
            </w: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医疗费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2.17</w:t>
            </w:r>
          </w:p>
        </w:tc>
        <w:tc>
          <w:tcPr>
            <w:tcW w:w="99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30213</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维修（护）费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101.67</w:t>
            </w:r>
          </w:p>
        </w:tc>
      </w:tr>
      <w:tr>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30199</w:t>
            </w: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其他工资福利支出</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55.98</w:t>
            </w:r>
          </w:p>
        </w:tc>
        <w:tc>
          <w:tcPr>
            <w:tcW w:w="99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30214</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租赁费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37.44</w:t>
            </w:r>
          </w:p>
        </w:tc>
      </w:tr>
      <w:tr>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303</w:t>
            </w: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对个人和家庭的补助</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150.47</w:t>
            </w:r>
          </w:p>
        </w:tc>
        <w:tc>
          <w:tcPr>
            <w:tcW w:w="99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30215</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会议费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2.21</w:t>
            </w:r>
          </w:p>
        </w:tc>
      </w:tr>
      <w:tr>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30302</w:t>
            </w: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退休费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103.19</w:t>
            </w:r>
          </w:p>
        </w:tc>
        <w:tc>
          <w:tcPr>
            <w:tcW w:w="99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30216</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培训费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8.99</w:t>
            </w:r>
          </w:p>
        </w:tc>
      </w:tr>
      <w:tr>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30304</w:t>
            </w: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抚恤金</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17.46</w:t>
            </w:r>
          </w:p>
        </w:tc>
        <w:tc>
          <w:tcPr>
            <w:tcW w:w="99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30217</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3.91</w:t>
            </w:r>
          </w:p>
        </w:tc>
      </w:tr>
      <w:tr>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30305</w:t>
            </w: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生活补助</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16.14</w:t>
            </w:r>
          </w:p>
        </w:tc>
        <w:tc>
          <w:tcPr>
            <w:tcW w:w="99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30218</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专业材料费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0.09</w:t>
            </w:r>
          </w:p>
        </w:tc>
      </w:tr>
      <w:tr>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30307</w:t>
            </w: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Cs w:val="21"/>
              </w:rPr>
            </w:pPr>
            <w:r>
              <w:rPr>
                <w:rFonts w:hint="eastAsia" w:ascii="宋体" w:hAnsi="宋体" w:cs="Arial"/>
                <w:color w:val="000000"/>
                <w:kern w:val="0"/>
                <w:szCs w:val="21"/>
              </w:rPr>
              <w:t>医疗费补助</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9.38</w:t>
            </w:r>
          </w:p>
        </w:tc>
        <w:tc>
          <w:tcPr>
            <w:tcW w:w="99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30226</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劳务费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5.02</w:t>
            </w:r>
          </w:p>
        </w:tc>
      </w:tr>
      <w:tr>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30309</w:t>
            </w: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奖励金</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0.3</w:t>
            </w:r>
          </w:p>
        </w:tc>
        <w:tc>
          <w:tcPr>
            <w:tcW w:w="99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30227</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委托业务费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102.61</w:t>
            </w:r>
          </w:p>
        </w:tc>
      </w:tr>
      <w:tr>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30399</w:t>
            </w: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其他对个人和家庭的补助</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w:t>
            </w:r>
          </w:p>
        </w:tc>
        <w:tc>
          <w:tcPr>
            <w:tcW w:w="99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30228</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工会经费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41.34</w:t>
            </w:r>
          </w:p>
        </w:tc>
      </w:tr>
      <w:tr>
        <w:tblPrEx>
          <w:tblCellMar>
            <w:top w:w="0" w:type="dxa"/>
            <w:left w:w="108" w:type="dxa"/>
            <w:bottom w:w="0" w:type="dxa"/>
            <w:right w:w="108" w:type="dxa"/>
          </w:tblCellMar>
        </w:tblPrEx>
        <w:trPr>
          <w:trHeight w:val="90" w:hRule="atLeast"/>
        </w:trPr>
        <w:tc>
          <w:tcPr>
            <w:tcW w:w="1418" w:type="dxa"/>
            <w:tcBorders>
              <w:top w:val="nil"/>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30229</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福利费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0.26</w:t>
            </w:r>
          </w:p>
        </w:tc>
      </w:tr>
      <w:tr>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30231</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Cs w:val="21"/>
              </w:rPr>
            </w:pPr>
            <w:r>
              <w:rPr>
                <w:rFonts w:hint="eastAsia" w:ascii="宋体" w:hAnsi="宋体" w:cs="Arial"/>
                <w:color w:val="000000"/>
                <w:kern w:val="0"/>
                <w:sz w:val="22"/>
                <w:szCs w:val="22"/>
              </w:rPr>
              <w:t>公务用车运行维护费</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6.45</w:t>
            </w:r>
          </w:p>
        </w:tc>
      </w:tr>
      <w:tr>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30239</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其他交通费用</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159.43</w:t>
            </w:r>
          </w:p>
        </w:tc>
      </w:tr>
      <w:tr>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30240</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Cs w:val="21"/>
              </w:rPr>
              <w:t>税金及附加费用</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6.53</w:t>
            </w:r>
          </w:p>
        </w:tc>
      </w:tr>
      <w:tr>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30299</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其他商品和服务支出</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162.68</w:t>
            </w:r>
          </w:p>
        </w:tc>
      </w:tr>
      <w:tr>
        <w:tblPrEx>
          <w:tblCellMar>
            <w:top w:w="0" w:type="dxa"/>
            <w:left w:w="108" w:type="dxa"/>
            <w:bottom w:w="0" w:type="dxa"/>
            <w:right w:w="108" w:type="dxa"/>
          </w:tblCellMar>
        </w:tblPrEx>
        <w:trPr>
          <w:trHeight w:val="276"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8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99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226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资本性支出</w:t>
            </w:r>
          </w:p>
        </w:tc>
        <w:tc>
          <w:tcPr>
            <w:tcW w:w="992"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95.28</w:t>
            </w:r>
          </w:p>
        </w:tc>
      </w:tr>
      <w:tr>
        <w:tblPrEx>
          <w:tblCellMar>
            <w:top w:w="0" w:type="dxa"/>
            <w:left w:w="108" w:type="dxa"/>
            <w:bottom w:w="0" w:type="dxa"/>
            <w:right w:w="108" w:type="dxa"/>
          </w:tblCellMar>
        </w:tblPrEx>
        <w:trPr>
          <w:trHeight w:val="457" w:hRule="atLeast"/>
        </w:trPr>
        <w:tc>
          <w:tcPr>
            <w:tcW w:w="1418" w:type="dxa"/>
            <w:tcBorders>
              <w:top w:val="nil"/>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p>
        </w:tc>
        <w:tc>
          <w:tcPr>
            <w:tcW w:w="283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p>
        </w:tc>
        <w:tc>
          <w:tcPr>
            <w:tcW w:w="99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31002</w:t>
            </w:r>
          </w:p>
        </w:tc>
        <w:tc>
          <w:tcPr>
            <w:tcW w:w="2268" w:type="dxa"/>
            <w:tcBorders>
              <w:top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办公设备购置</w:t>
            </w:r>
          </w:p>
        </w:tc>
        <w:tc>
          <w:tcPr>
            <w:tcW w:w="992"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42.45</w:t>
            </w:r>
          </w:p>
        </w:tc>
      </w:tr>
      <w:tr>
        <w:tblPrEx>
          <w:tblCellMar>
            <w:top w:w="0" w:type="dxa"/>
            <w:left w:w="108" w:type="dxa"/>
            <w:bottom w:w="0" w:type="dxa"/>
            <w:right w:w="108" w:type="dxa"/>
          </w:tblCellMar>
        </w:tblPrEx>
        <w:trPr>
          <w:trHeight w:val="457" w:hRule="atLeast"/>
        </w:trPr>
        <w:tc>
          <w:tcPr>
            <w:tcW w:w="1418" w:type="dxa"/>
            <w:tcBorders>
              <w:top w:val="nil"/>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p>
        </w:tc>
        <w:tc>
          <w:tcPr>
            <w:tcW w:w="283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p>
        </w:tc>
        <w:tc>
          <w:tcPr>
            <w:tcW w:w="99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31003</w:t>
            </w:r>
          </w:p>
        </w:tc>
        <w:tc>
          <w:tcPr>
            <w:tcW w:w="2268" w:type="dxa"/>
            <w:tcBorders>
              <w:top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专业用设备购置</w:t>
            </w:r>
          </w:p>
        </w:tc>
        <w:tc>
          <w:tcPr>
            <w:tcW w:w="992" w:type="dxa"/>
            <w:tcBorders>
              <w:top w:val="single" w:color="auto" w:sz="4" w:space="0"/>
              <w:left w:val="single" w:color="auto" w:sz="4" w:space="0"/>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2.80</w:t>
            </w:r>
          </w:p>
        </w:tc>
      </w:tr>
      <w:tr>
        <w:tblPrEx>
          <w:tblCellMar>
            <w:top w:w="0" w:type="dxa"/>
            <w:left w:w="108" w:type="dxa"/>
            <w:bottom w:w="0" w:type="dxa"/>
            <w:right w:w="108" w:type="dxa"/>
          </w:tblCellMar>
        </w:tblPrEx>
        <w:trPr>
          <w:trHeight w:val="457"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992" w:type="dxa"/>
            <w:tcBorders>
              <w:top w:val="single" w:color="auto" w:sz="4" w:space="0"/>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p>
        </w:tc>
        <w:tc>
          <w:tcPr>
            <w:tcW w:w="993" w:type="dxa"/>
            <w:tcBorders>
              <w:top w:val="single" w:color="auto" w:sz="4" w:space="0"/>
              <w:left w:val="nil"/>
              <w:bottom w:val="single" w:color="auto" w:sz="4" w:space="0"/>
              <w:right w:val="single" w:color="auto" w:sz="4" w:space="0"/>
            </w:tcBorders>
            <w:vAlign w:val="bottom"/>
          </w:tcPr>
          <w:p>
            <w:pPr>
              <w:widowControl/>
              <w:rPr>
                <w:rFonts w:ascii="宋体" w:hAnsi="宋体" w:cs="Arial"/>
                <w:color w:val="000000"/>
                <w:kern w:val="0"/>
                <w:sz w:val="22"/>
                <w:szCs w:val="22"/>
              </w:rPr>
            </w:pPr>
            <w:r>
              <w:rPr>
                <w:rFonts w:hint="eastAsia" w:ascii="宋体" w:hAnsi="宋体" w:cs="Arial"/>
                <w:color w:val="000000"/>
                <w:kern w:val="0"/>
                <w:sz w:val="22"/>
                <w:szCs w:val="22"/>
              </w:rPr>
              <w:t>31007</w:t>
            </w:r>
          </w:p>
        </w:tc>
        <w:tc>
          <w:tcPr>
            <w:tcW w:w="2268"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s="Arial"/>
                <w:color w:val="000000"/>
                <w:kern w:val="0"/>
                <w:sz w:val="22"/>
                <w:szCs w:val="22"/>
              </w:rPr>
            </w:pPr>
            <w:r>
              <w:rPr>
                <w:rFonts w:hint="eastAsia" w:ascii="宋体" w:hAnsi="宋体" w:cs="Arial"/>
                <w:color w:val="000000"/>
                <w:kern w:val="0"/>
                <w:sz w:val="22"/>
                <w:szCs w:val="22"/>
              </w:rPr>
              <w:t>信息网络及软件购置更新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49.76</w:t>
            </w:r>
          </w:p>
        </w:tc>
      </w:tr>
      <w:tr>
        <w:tblPrEx>
          <w:tblCellMar>
            <w:top w:w="0" w:type="dxa"/>
            <w:left w:w="108" w:type="dxa"/>
            <w:bottom w:w="0" w:type="dxa"/>
            <w:right w:w="108" w:type="dxa"/>
          </w:tblCellMar>
        </w:tblPrEx>
        <w:trPr>
          <w:trHeight w:val="493"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Arial"/>
                <w:color w:val="000000"/>
                <w:spacing w:val="-20"/>
                <w:kern w:val="0"/>
                <w:sz w:val="22"/>
                <w:szCs w:val="22"/>
              </w:rPr>
            </w:pPr>
          </w:p>
        </w:tc>
        <w:tc>
          <w:tcPr>
            <w:tcW w:w="2835" w:type="dxa"/>
            <w:tcBorders>
              <w:top w:val="single" w:color="auto" w:sz="4" w:space="0"/>
              <w:left w:val="nil"/>
              <w:bottom w:val="single" w:color="auto" w:sz="4" w:space="0"/>
              <w:right w:val="single" w:color="auto" w:sz="4" w:space="0"/>
            </w:tcBorders>
            <w:vAlign w:val="center"/>
          </w:tcPr>
          <w:p>
            <w:pPr>
              <w:widowControl/>
              <w:rPr>
                <w:rFonts w:ascii="宋体" w:hAnsi="宋体" w:cs="Arial"/>
                <w:color w:val="000000"/>
                <w:kern w:val="0"/>
                <w:sz w:val="22"/>
                <w:szCs w:val="22"/>
              </w:rPr>
            </w:pPr>
          </w:p>
        </w:tc>
        <w:tc>
          <w:tcPr>
            <w:tcW w:w="992" w:type="dxa"/>
            <w:tcBorders>
              <w:top w:val="single" w:color="auto" w:sz="4" w:space="0"/>
              <w:left w:val="nil"/>
              <w:bottom w:val="single" w:color="auto" w:sz="4" w:space="0"/>
              <w:right w:val="single" w:color="auto" w:sz="4" w:space="0"/>
            </w:tcBorders>
            <w:vAlign w:val="center"/>
          </w:tcPr>
          <w:p>
            <w:pPr>
              <w:widowControl/>
              <w:rPr>
                <w:rFonts w:ascii="宋体" w:hAnsi="宋体" w:cs="Arial"/>
                <w:color w:val="000000"/>
                <w:kern w:val="0"/>
                <w:sz w:val="22"/>
                <w:szCs w:val="22"/>
              </w:rPr>
            </w:pPr>
          </w:p>
        </w:tc>
        <w:tc>
          <w:tcPr>
            <w:tcW w:w="993" w:type="dxa"/>
            <w:tcBorders>
              <w:top w:val="single" w:color="auto" w:sz="4" w:space="0"/>
              <w:left w:val="nil"/>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31099</w:t>
            </w:r>
          </w:p>
        </w:tc>
        <w:tc>
          <w:tcPr>
            <w:tcW w:w="2268" w:type="dxa"/>
            <w:tcBorders>
              <w:top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其他资本性支出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0.27</w:t>
            </w:r>
          </w:p>
        </w:tc>
      </w:tr>
      <w:tr>
        <w:tblPrEx>
          <w:tblCellMar>
            <w:top w:w="0" w:type="dxa"/>
            <w:left w:w="108" w:type="dxa"/>
            <w:bottom w:w="0" w:type="dxa"/>
            <w:right w:w="108" w:type="dxa"/>
          </w:tblCellMar>
        </w:tblPrEx>
        <w:trPr>
          <w:trHeight w:val="41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Arial"/>
                <w:color w:val="000000"/>
                <w:spacing w:val="-20"/>
                <w:kern w:val="0"/>
                <w:sz w:val="22"/>
                <w:szCs w:val="22"/>
              </w:rPr>
            </w:pPr>
            <w:r>
              <w:rPr>
                <w:rFonts w:hint="eastAsia" w:ascii="宋体" w:hAnsi="宋体" w:cs="Arial"/>
                <w:color w:val="000000"/>
                <w:spacing w:val="-20"/>
                <w:kern w:val="0"/>
                <w:sz w:val="22"/>
                <w:szCs w:val="22"/>
              </w:rPr>
              <w:t>人员经费合计</w:t>
            </w:r>
          </w:p>
        </w:tc>
        <w:tc>
          <w:tcPr>
            <w:tcW w:w="2835" w:type="dxa"/>
            <w:tcBorders>
              <w:top w:val="single" w:color="auto" w:sz="4" w:space="0"/>
              <w:left w:val="nil"/>
              <w:bottom w:val="single" w:color="auto" w:sz="4" w:space="0"/>
              <w:right w:val="single" w:color="auto" w:sz="4" w:space="0"/>
            </w:tcBorders>
            <w:vAlign w:val="center"/>
          </w:tcPr>
          <w:p>
            <w:pPr>
              <w:widowControl/>
              <w:rPr>
                <w:rFonts w:ascii="宋体" w:hAnsi="宋体" w:cs="Arial"/>
                <w:color w:val="000000"/>
                <w:kern w:val="0"/>
                <w:sz w:val="22"/>
                <w:szCs w:val="22"/>
              </w:rPr>
            </w:pPr>
          </w:p>
        </w:tc>
        <w:tc>
          <w:tcPr>
            <w:tcW w:w="992" w:type="dxa"/>
            <w:tcBorders>
              <w:top w:val="single" w:color="auto" w:sz="4" w:space="0"/>
              <w:left w:val="nil"/>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3388.74</w:t>
            </w:r>
          </w:p>
        </w:tc>
        <w:tc>
          <w:tcPr>
            <w:tcW w:w="993" w:type="dxa"/>
            <w:tcBorders>
              <w:top w:val="single" w:color="auto" w:sz="4" w:space="0"/>
              <w:left w:val="nil"/>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2268" w:type="dxa"/>
            <w:tcBorders>
              <w:top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1094.54</w:t>
            </w:r>
          </w:p>
        </w:tc>
      </w:tr>
    </w:tbl>
    <w:p>
      <w:pPr>
        <w:sectPr>
          <w:pgSz w:w="11906" w:h="16838"/>
          <w:pgMar w:top="1440" w:right="1797" w:bottom="1440" w:left="1797" w:header="851" w:footer="992" w:gutter="0"/>
          <w:cols w:space="720" w:num="1"/>
          <w:docGrid w:type="linesAndChar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6"/>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2018年度预算数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2018年度决算数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公务接</w:t>
            </w:r>
          </w:p>
          <w:p>
            <w:pPr>
              <w:widowControl/>
              <w:jc w:val="center"/>
              <w:rPr>
                <w:rFonts w:ascii="宋体" w:hAnsi="宋体" w:cs="Arial"/>
                <w:color w:val="000000"/>
                <w:kern w:val="0"/>
                <w:sz w:val="22"/>
                <w:szCs w:val="22"/>
              </w:rPr>
            </w:pPr>
            <w:r>
              <w:rPr>
                <w:rFonts w:hint="eastAsia" w:ascii="宋体" w:hAnsi="宋体" w:cs="Arial"/>
                <w:kern w:val="0"/>
                <w:sz w:val="22"/>
                <w:szCs w:val="22"/>
              </w:rPr>
              <w:t>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公务接</w:t>
            </w:r>
          </w:p>
          <w:p>
            <w:pPr>
              <w:widowControl/>
              <w:jc w:val="center"/>
              <w:rPr>
                <w:rFonts w:ascii="宋体" w:hAnsi="宋体" w:cs="Arial"/>
                <w:color w:val="000000"/>
                <w:kern w:val="0"/>
                <w:sz w:val="22"/>
                <w:szCs w:val="22"/>
              </w:rPr>
            </w:pPr>
            <w:r>
              <w:rPr>
                <w:rFonts w:hint="eastAsia" w:ascii="宋体" w:hAnsi="宋体" w:cs="Arial"/>
                <w:kern w:val="0"/>
                <w:sz w:val="22"/>
                <w:szCs w:val="22"/>
              </w:rPr>
              <w:t>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(境）费</w:t>
            </w: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(境）费</w:t>
            </w: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rPr>
              <w:t>27.08</w:t>
            </w:r>
          </w:p>
        </w:tc>
        <w:tc>
          <w:tcPr>
            <w:tcW w:w="1603" w:type="dxa"/>
            <w:tcBorders>
              <w:top w:val="nil"/>
              <w:left w:val="nil"/>
              <w:bottom w:val="single" w:color="auto" w:sz="4" w:space="0"/>
              <w:right w:val="single" w:color="auto" w:sz="4" w:space="0"/>
            </w:tcBorders>
            <w:vAlign w:val="center"/>
          </w:tcPr>
          <w:p>
            <w:pPr>
              <w:widowControl/>
              <w:ind w:firstLine="600" w:firstLineChars="300"/>
              <w:jc w:val="right"/>
              <w:rPr>
                <w:rFonts w:ascii="Arial" w:hAnsi="Arial" w:cs="Arial"/>
                <w:color w:val="000000"/>
                <w:kern w:val="0"/>
                <w:sz w:val="20"/>
                <w:szCs w:val="20"/>
              </w:rPr>
            </w:pPr>
            <w:r>
              <w:rPr>
                <w:rFonts w:hint="eastAsia" w:ascii="Arial" w:hAnsi="Arial" w:cs="Arial"/>
                <w:color w:val="000000"/>
                <w:kern w:val="0"/>
                <w:sz w:val="20"/>
                <w:szCs w:val="20"/>
              </w:rPr>
              <w:t>13.25</w:t>
            </w:r>
          </w:p>
        </w:tc>
        <w:tc>
          <w:tcPr>
            <w:tcW w:w="828" w:type="dxa"/>
            <w:tcBorders>
              <w:top w:val="nil"/>
              <w:left w:val="nil"/>
              <w:bottom w:val="single" w:color="auto" w:sz="4" w:space="0"/>
              <w:right w:val="single" w:color="auto" w:sz="4" w:space="0"/>
            </w:tcBorders>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rPr>
              <w:t>8</w:t>
            </w:r>
          </w:p>
        </w:tc>
        <w:tc>
          <w:tcPr>
            <w:tcW w:w="1242" w:type="dxa"/>
            <w:tcBorders>
              <w:top w:val="nil"/>
              <w:left w:val="nil"/>
              <w:bottom w:val="single" w:color="auto" w:sz="4" w:space="0"/>
              <w:right w:val="single" w:color="auto" w:sz="4" w:space="0"/>
            </w:tcBorders>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rPr>
              <w:t>0</w:t>
            </w:r>
          </w:p>
        </w:tc>
        <w:tc>
          <w:tcPr>
            <w:tcW w:w="1242" w:type="dxa"/>
            <w:tcBorders>
              <w:top w:val="nil"/>
              <w:left w:val="nil"/>
              <w:bottom w:val="single" w:color="auto" w:sz="4" w:space="0"/>
              <w:right w:val="single" w:color="auto" w:sz="4" w:space="0"/>
            </w:tcBorders>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rPr>
              <w:t>8</w:t>
            </w:r>
          </w:p>
        </w:tc>
        <w:tc>
          <w:tcPr>
            <w:tcW w:w="1216" w:type="dxa"/>
            <w:tcBorders>
              <w:top w:val="nil"/>
              <w:left w:val="nil"/>
              <w:bottom w:val="single" w:color="auto" w:sz="4" w:space="0"/>
              <w:right w:val="single" w:color="auto" w:sz="4" w:space="0"/>
            </w:tcBorders>
            <w:vAlign w:val="center"/>
          </w:tcPr>
          <w:p>
            <w:pPr>
              <w:widowControl/>
              <w:ind w:firstLine="200" w:firstLineChars="100"/>
              <w:jc w:val="right"/>
              <w:rPr>
                <w:rFonts w:ascii="Arial" w:hAnsi="Arial" w:cs="Arial"/>
                <w:color w:val="000000"/>
                <w:kern w:val="0"/>
                <w:sz w:val="20"/>
                <w:szCs w:val="20"/>
              </w:rPr>
            </w:pPr>
            <w:r>
              <w:rPr>
                <w:rFonts w:hint="eastAsia" w:ascii="Arial" w:hAnsi="Arial" w:cs="Arial"/>
                <w:color w:val="000000"/>
                <w:kern w:val="0"/>
                <w:sz w:val="20"/>
                <w:szCs w:val="20"/>
              </w:rPr>
              <w:t>5.83</w:t>
            </w:r>
          </w:p>
        </w:tc>
        <w:tc>
          <w:tcPr>
            <w:tcW w:w="806" w:type="dxa"/>
            <w:tcBorders>
              <w:top w:val="nil"/>
              <w:left w:val="nil"/>
              <w:bottom w:val="single" w:color="auto" w:sz="4" w:space="0"/>
              <w:right w:val="single" w:color="auto" w:sz="4" w:space="0"/>
            </w:tcBorders>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rPr>
              <w:t>23.61</w:t>
            </w:r>
          </w:p>
        </w:tc>
        <w:tc>
          <w:tcPr>
            <w:tcW w:w="1560" w:type="dxa"/>
            <w:tcBorders>
              <w:top w:val="nil"/>
              <w:left w:val="nil"/>
              <w:bottom w:val="single" w:color="auto" w:sz="4" w:space="0"/>
              <w:right w:val="single" w:color="auto" w:sz="4" w:space="0"/>
            </w:tcBorders>
            <w:vAlign w:val="center"/>
          </w:tcPr>
          <w:p>
            <w:pPr>
              <w:widowControl/>
              <w:ind w:firstLine="200" w:firstLineChars="100"/>
              <w:jc w:val="right"/>
              <w:rPr>
                <w:rFonts w:ascii="Arial" w:hAnsi="Arial" w:cs="Arial"/>
                <w:color w:val="000000"/>
                <w:kern w:val="0"/>
                <w:sz w:val="20"/>
                <w:szCs w:val="20"/>
              </w:rPr>
            </w:pPr>
            <w:r>
              <w:rPr>
                <w:rFonts w:hint="eastAsia" w:ascii="Arial" w:hAnsi="Arial" w:cs="Arial"/>
                <w:color w:val="000000"/>
                <w:kern w:val="0"/>
                <w:sz w:val="20"/>
                <w:szCs w:val="20"/>
              </w:rPr>
              <w:t>13.25</w:t>
            </w:r>
          </w:p>
        </w:tc>
        <w:tc>
          <w:tcPr>
            <w:tcW w:w="806" w:type="dxa"/>
            <w:tcBorders>
              <w:top w:val="nil"/>
              <w:left w:val="nil"/>
              <w:bottom w:val="single" w:color="auto" w:sz="4" w:space="0"/>
              <w:right w:val="single" w:color="auto" w:sz="4" w:space="0"/>
            </w:tcBorders>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rPr>
              <w:t>6.45</w:t>
            </w:r>
          </w:p>
        </w:tc>
        <w:tc>
          <w:tcPr>
            <w:tcW w:w="1398" w:type="dxa"/>
            <w:tcBorders>
              <w:top w:val="nil"/>
              <w:left w:val="nil"/>
              <w:bottom w:val="single" w:color="auto" w:sz="4" w:space="0"/>
              <w:right w:val="single" w:color="auto" w:sz="4" w:space="0"/>
            </w:tcBorders>
            <w:vAlign w:val="center"/>
          </w:tcPr>
          <w:p>
            <w:pPr>
              <w:widowControl/>
              <w:ind w:firstLine="400" w:firstLineChars="200"/>
              <w:jc w:val="right"/>
              <w:rPr>
                <w:rFonts w:ascii="Arial" w:hAnsi="Arial" w:cs="Arial"/>
                <w:color w:val="000000"/>
                <w:kern w:val="0"/>
                <w:sz w:val="20"/>
                <w:szCs w:val="20"/>
              </w:rPr>
            </w:pPr>
            <w:r>
              <w:rPr>
                <w:rFonts w:hint="eastAsia" w:ascii="Arial" w:hAnsi="Arial" w:cs="Arial"/>
                <w:color w:val="000000"/>
                <w:kern w:val="0"/>
                <w:sz w:val="20"/>
                <w:szCs w:val="20"/>
              </w:rPr>
              <w:t>0</w:t>
            </w:r>
          </w:p>
        </w:tc>
        <w:tc>
          <w:tcPr>
            <w:tcW w:w="1208" w:type="dxa"/>
            <w:tcBorders>
              <w:top w:val="nil"/>
              <w:left w:val="nil"/>
              <w:bottom w:val="single" w:color="auto" w:sz="4" w:space="0"/>
              <w:right w:val="single" w:color="auto" w:sz="4" w:space="0"/>
            </w:tcBorders>
            <w:vAlign w:val="center"/>
          </w:tcPr>
          <w:p>
            <w:pPr>
              <w:widowControl/>
              <w:jc w:val="right"/>
              <w:rPr>
                <w:rFonts w:ascii="Arial" w:hAnsi="Arial" w:cs="Arial"/>
                <w:color w:val="000000"/>
                <w:kern w:val="0"/>
                <w:sz w:val="20"/>
                <w:szCs w:val="20"/>
              </w:rPr>
            </w:pPr>
            <w:r>
              <w:rPr>
                <w:rFonts w:hint="eastAsia" w:ascii="Arial" w:hAnsi="Arial" w:cs="Arial"/>
                <w:color w:val="000000"/>
                <w:kern w:val="0"/>
                <w:sz w:val="20"/>
                <w:szCs w:val="20"/>
              </w:rPr>
              <w:t>6.45</w:t>
            </w:r>
          </w:p>
        </w:tc>
        <w:tc>
          <w:tcPr>
            <w:tcW w:w="1183" w:type="dxa"/>
            <w:tcBorders>
              <w:top w:val="nil"/>
              <w:left w:val="nil"/>
              <w:bottom w:val="single" w:color="auto" w:sz="4" w:space="0"/>
              <w:right w:val="single" w:color="auto" w:sz="4" w:space="0"/>
            </w:tcBorders>
            <w:vAlign w:val="center"/>
          </w:tcPr>
          <w:p>
            <w:pPr>
              <w:widowControl/>
              <w:ind w:firstLine="200" w:firstLineChars="100"/>
              <w:jc w:val="right"/>
              <w:rPr>
                <w:rFonts w:ascii="Arial" w:hAnsi="Arial" w:cs="Arial"/>
                <w:color w:val="000000"/>
                <w:kern w:val="0"/>
                <w:sz w:val="20"/>
                <w:szCs w:val="20"/>
              </w:rPr>
            </w:pPr>
            <w:r>
              <w:rPr>
                <w:rFonts w:hint="eastAsia" w:ascii="Arial" w:hAnsi="Arial" w:cs="Arial"/>
                <w:color w:val="000000"/>
                <w:kern w:val="0"/>
                <w:sz w:val="20"/>
                <w:szCs w:val="20"/>
              </w:rPr>
              <w:t>3.91</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注：本表反映部门本年度“三公”经费支出预决算情况。其中，2018年度预算数为“三公”经费年初预算数，决算数是包括当年一般公共预算财政拨款和以前年度结转资金安排的实际支出。</w:t>
      </w:r>
    </w:p>
    <w:tbl>
      <w:tblPr>
        <w:tblStyle w:val="6"/>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上年结转和结余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基本支出结转和结余</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基本支出结转和结余</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ind w:firstLine="945" w:firstLineChars="450"/>
      </w:pPr>
      <w:r>
        <w:rPr>
          <w:rFonts w:hint="eastAsia"/>
        </w:rPr>
        <w:t>注：本表反映部门本年度政府性基金预算财政拨款收入支出及结转和结余情况。</w:t>
      </w:r>
    </w:p>
    <w:p>
      <w:pPr>
        <w:ind w:firstLine="945" w:firstLineChars="450"/>
      </w:pPr>
    </w:p>
    <w:p>
      <w:pPr>
        <w:ind w:firstLine="945" w:firstLineChars="450"/>
      </w:pPr>
      <w:r>
        <w:rPr>
          <w:rFonts w:hint="eastAsia"/>
        </w:rPr>
        <w:t>说明：柳州市财政局没有政府性基金预算财政拨款收入，也没有政府性基金预算财政拨款安排的支出，故本表无数据。</w:t>
      </w:r>
    </w:p>
    <w:p/>
    <w:p/>
    <w:p/>
    <w:p/>
    <w:p/>
    <w:p>
      <w:pPr>
        <w:sectPr>
          <w:pgSz w:w="16838" w:h="11906" w:orient="landscape"/>
          <w:pgMar w:top="1797" w:right="1440" w:bottom="1797" w:left="1440" w:header="851" w:footer="992" w:gutter="0"/>
          <w:cols w:space="720" w:num="1"/>
          <w:docGrid w:type="lines" w:linePitch="312" w:charSpace="0"/>
        </w:sectPr>
      </w:pP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柳州市财政局</w:t>
      </w:r>
      <w:r>
        <w:rPr>
          <w:rFonts w:hint="eastAsia" w:ascii="仿宋_GB2312" w:eastAsia="仿宋_GB2312"/>
          <w:b/>
          <w:sz w:val="32"/>
          <w:szCs w:val="32"/>
        </w:rPr>
        <w:t>2018年度部门决算情况说明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2018</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2018年度收入总计</w:t>
      </w:r>
      <w:r>
        <w:rPr>
          <w:rFonts w:hint="eastAsia" w:ascii="仿宋_GB2312" w:eastAsia="仿宋_GB2312" w:cs="仿宋_GB2312"/>
          <w:kern w:val="0"/>
          <w:sz w:val="32"/>
          <w:szCs w:val="32"/>
        </w:rPr>
        <w:t>10201.19</w:t>
      </w:r>
      <w:r>
        <w:rPr>
          <w:rFonts w:hint="eastAsia" w:ascii="仿宋_GB2312" w:eastAsia="仿宋_GB2312" w:cs="仿宋_GB2312"/>
          <w:bCs/>
          <w:kern w:val="0"/>
          <w:sz w:val="32"/>
          <w:szCs w:val="32"/>
        </w:rPr>
        <w:t>万元，支出总计</w:t>
      </w:r>
      <w:r>
        <w:rPr>
          <w:rFonts w:hint="eastAsia" w:ascii="仿宋_GB2312" w:eastAsia="仿宋_GB2312" w:cs="仿宋_GB2312"/>
          <w:kern w:val="0"/>
          <w:sz w:val="32"/>
          <w:szCs w:val="32"/>
        </w:rPr>
        <w:t>10201.19</w:t>
      </w:r>
      <w:r>
        <w:rPr>
          <w:rFonts w:hint="eastAsia" w:ascii="仿宋_GB2312" w:eastAsia="仿宋_GB2312" w:cs="仿宋_GB2312"/>
          <w:bCs/>
          <w:kern w:val="0"/>
          <w:sz w:val="32"/>
          <w:szCs w:val="32"/>
        </w:rPr>
        <w:t>万元，与2017年相比，收、支均增加1460.77万元；均增长16.71%。</w:t>
      </w:r>
    </w:p>
    <w:p>
      <w:pPr>
        <w:autoSpaceDE w:val="0"/>
        <w:autoSpaceDN w:val="0"/>
        <w:adjustRightInd w:val="0"/>
        <w:spacing w:line="560" w:lineRule="exact"/>
        <w:ind w:firstLine="643" w:firstLineChars="200"/>
        <w:jc w:val="left"/>
        <w:rPr>
          <w:rFonts w:ascii="仿宋_GB2312" w:eastAsia="仿宋_GB2312" w:cs="仿宋_GB2312"/>
          <w:b/>
          <w:bCs/>
          <w:kern w:val="0"/>
          <w:sz w:val="32"/>
          <w:szCs w:val="32"/>
        </w:rPr>
      </w:pPr>
      <w:r>
        <w:rPr>
          <w:rFonts w:hint="eastAsia" w:ascii="仿宋_GB2312" w:eastAsia="仿宋_GB2312" w:cs="仿宋_GB2312"/>
          <w:b/>
          <w:bCs/>
          <w:kern w:val="0"/>
          <w:sz w:val="32"/>
          <w:szCs w:val="32"/>
        </w:rPr>
        <w:t>二、2018年度收入决算情况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本年收入总计6837.97万元。其中：</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财政拨款收入</w:t>
      </w:r>
      <w:r>
        <w:rPr>
          <w:rFonts w:hint="eastAsia" w:ascii="仿宋_GB2312" w:eastAsia="仿宋_GB2312"/>
          <w:kern w:val="0"/>
          <w:sz w:val="32"/>
          <w:szCs w:val="32"/>
        </w:rPr>
        <w:t>6765.75</w:t>
      </w:r>
      <w:r>
        <w:rPr>
          <w:rFonts w:hint="eastAsia" w:ascii="仿宋_GB2312" w:eastAsia="仿宋_GB2312" w:cs="仿宋_GB2312"/>
          <w:kern w:val="0"/>
          <w:sz w:val="32"/>
          <w:szCs w:val="32"/>
        </w:rPr>
        <w:t>万元，占比98.95%；上级补助收入2.96万元，占比0.04%；其他收入</w:t>
      </w:r>
      <w:r>
        <w:rPr>
          <w:rFonts w:hint="eastAsia" w:ascii="仿宋_GB2312" w:eastAsia="仿宋_GB2312"/>
          <w:kern w:val="0"/>
          <w:sz w:val="32"/>
          <w:szCs w:val="32"/>
        </w:rPr>
        <w:t>69.26</w:t>
      </w:r>
      <w:r>
        <w:rPr>
          <w:rFonts w:hint="eastAsia" w:ascii="仿宋_GB2312" w:eastAsia="仿宋_GB2312" w:cs="仿宋_GB2312"/>
          <w:kern w:val="0"/>
          <w:sz w:val="32"/>
          <w:szCs w:val="32"/>
        </w:rPr>
        <w:t>万元，占比1.01%。</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2018</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w:t>
      </w:r>
      <w:r>
        <w:rPr>
          <w:rFonts w:hint="eastAsia" w:ascii="仿宋_GB2312" w:eastAsia="仿宋_GB2312" w:cs="仿宋_GB2312"/>
          <w:color w:val="000000"/>
          <w:kern w:val="0"/>
          <w:sz w:val="32"/>
          <w:szCs w:val="32"/>
        </w:rPr>
        <w:t>7104.88</w:t>
      </w:r>
      <w:r>
        <w:rPr>
          <w:rFonts w:hint="eastAsia" w:ascii="仿宋_GB2312" w:eastAsia="仿宋_GB2312" w:cs="仿宋_GB2312"/>
          <w:bCs/>
          <w:kern w:val="0"/>
          <w:sz w:val="32"/>
          <w:szCs w:val="32"/>
        </w:rPr>
        <w:t>万元。其中：</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基本支出4558.29万元，占比64.16%；项目支出2546.59万元，占比35.84%。</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ascii="仿宋_GB2312" w:eastAsia="仿宋_GB2312"/>
          <w:b/>
          <w:kern w:val="0"/>
          <w:sz w:val="32"/>
          <w:szCs w:val="32"/>
        </w:rPr>
        <w:t>2018</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本部门2018年度财政拨款收、支总决算6765.75万元、7029.87万元。与2017年相比，财政拨款收、支总计各增加938.30万元、1886.96万元，增长16.1%、36.69%。</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五、2018年度一般公共预算财政拨款支出决算情况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kern w:val="0"/>
          <w:sz w:val="32"/>
          <w:szCs w:val="32"/>
        </w:rPr>
        <w:t>（一）</w:t>
      </w:r>
      <w:r>
        <w:rPr>
          <w:rFonts w:hint="eastAsia" w:ascii="仿宋_GB2312" w:eastAsia="仿宋_GB2312" w:cs="仿宋_GB2312"/>
          <w:b/>
          <w:kern w:val="0"/>
          <w:sz w:val="32"/>
          <w:szCs w:val="32"/>
        </w:rPr>
        <w:t>财政拨款支出决算情况</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本部门2018年度财政拨款支出7029.87万元，占本年支出合计的98.94%。与2017年5142.91万元相比，财政拨款支出增加1886.96万元，增长36.69%。</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2018年度财政拨款支出7029.87万元，主要用于以下方面：一般公共服务（类）支出5446.14万元，占77.47%；社会保障和就业（类）支出524.53万元，占7.46%；医疗卫生与计划生育（类）支出216.86万元，占3.08%；城乡社区（类）支出531.73万元，占7.56%；农林水（类）支出53.79万元，占0.77%；资源勘探信息等（类）支出0.32万元，占0.01%；住房保障（类）支出256.50万元，占3.65%。</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2018年度财政拨款支出年初预算为6035.53万元，支出决算为7029.87万元，完成年初预算的116.47%。决算数大于于预算数的主要原因：一是年中追加安排及调整增加部分财政拨款预算；二是部分项目按规定通过使用以前年度财政拨款结转资金解决。</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其中：</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1.一般公共服务支出（类）财政事务（款）行政运行（项），支出功能分类科目编码2010601。年初预算为1799.24万元，支出决算为2615.84万元，完成年初预算的145.39%。决算数大于预算数的主要原因是人员支出增加，年中追加安排部分财政拨款预算。</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2.一般公共服务支出（类）财政事务（款）一般行政管理事务（项），支出功能分类科目编码2010602。年初预算为769.95万元，支出决算为1097.88万元，完成年初预算的142.59%。决算数大于预算数的主要原因是：（1）部分跨年度项目在本年度竣工结算，按规定通过使用以前年度财政拨款结转资金解决；（2）年中追加安排部分财政拨款预算。</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3.一般公共服务支出（类）财政事务（款）财政国库业务（项），支出功能分类科目编码2010605。年初预算为906万元，支出决算为925.72万元，完成年初预算的102.18%。决算数大于预算数的主要原因是：年中追加安排部分财政国库业务费用财政拨款预算。</w:t>
      </w:r>
    </w:p>
    <w:p>
      <w:pPr>
        <w:autoSpaceDE w:val="0"/>
        <w:autoSpaceDN w:val="0"/>
        <w:adjustRightInd w:val="0"/>
        <w:spacing w:line="560" w:lineRule="exact"/>
        <w:ind w:firstLine="640" w:firstLineChars="200"/>
        <w:jc w:val="left"/>
        <w:rPr>
          <w:rFonts w:ascii="仿宋_GB2312" w:eastAsia="仿宋_GB2312" w:cs="仿宋_GB2312"/>
          <w:bCs/>
          <w:color w:val="FF0000"/>
          <w:kern w:val="0"/>
          <w:sz w:val="32"/>
          <w:szCs w:val="32"/>
        </w:rPr>
      </w:pPr>
      <w:r>
        <w:rPr>
          <w:rFonts w:hint="eastAsia" w:ascii="仿宋_GB2312" w:eastAsia="仿宋_GB2312" w:cs="仿宋_GB2312"/>
          <w:bCs/>
          <w:color w:val="000000"/>
          <w:kern w:val="0"/>
          <w:sz w:val="32"/>
          <w:szCs w:val="32"/>
        </w:rPr>
        <w:t>4.一般公共服务支出（类）财政事务（款）事业运行（项），支出功能分类科目编码2010650。年初预算为668.46万元，支出决算为657.25万元，完成年初预算的98.32%，决算数小于预算数的主要原因是：市非税收入管理局部分票据印刷费待支付。</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5.一般公共服务支出（类）财政事务（款）其他财政事务支出（项），支出功能分类科目编码2010699。年初预算为272.29万元，支出决算为149.45万元，完成年初预算的54.89%，决算数小于预算数的主要原因是：2018年注册会计师考试考务费用由财政厅直接收取，不再经过市财政局干部教育中心收缴；上缴初、中、高级费用在财务账上体现为往来款项，不体现为收入支出。</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6.社会保障和就业支出（类）行政事业单位离退休（款）归口管理的行政单位离退休（项），支出功能分类科目编码2080501。年初预算为3.39万元，支出决算为100.87万元，完成年初预算的2975.52</w:t>
      </w:r>
      <w:r>
        <w:rPr>
          <w:rFonts w:ascii="仿宋_GB2312" w:eastAsia="仿宋_GB2312" w:cs="仿宋_GB2312"/>
          <w:bCs/>
          <w:color w:val="000000"/>
          <w:kern w:val="0"/>
          <w:sz w:val="32"/>
          <w:szCs w:val="32"/>
        </w:rPr>
        <w:t>%</w:t>
      </w:r>
      <w:r>
        <w:rPr>
          <w:rFonts w:hint="eastAsia" w:ascii="仿宋_GB2312" w:eastAsia="仿宋_GB2312" w:cs="仿宋_GB2312"/>
          <w:bCs/>
          <w:color w:val="000000"/>
          <w:kern w:val="0"/>
          <w:sz w:val="32"/>
          <w:szCs w:val="32"/>
        </w:rPr>
        <w:t>，决算数大于预算数的主要原因是：人员支出增加，年中追加安排行政单位离退休财政拨款预算。</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7.社会保障和就业支出（类）行政事业单位离退休（款）事业单位离退休（项），支出功能分类科目编码2080502。年初预算为0万元，支出决算为23.24万元。决算数大于预算数的主要原因是：年初未安排财政拨款预算，年中调整增加事业单位离退休财政拨款预算。</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8.社会保障和就业支出（类）行政事业单位离退休（款）机关事业单位基本养老保险缴费支出（项），支出功能分类科目编码2080505。年初预算为413.26万元，支出决算为400.42万元。决算数小于预算数的主要原因是：部分养老保险待支付。</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9.医疗卫生与计划生育支出（类）行政事业单位医疗（款）行政单位医疗（项），支出功能分类科目编码2101101。年初预算为141.45万元，支出决算为136.86万元，完成年初预算的96.76%，决算数小于预算数的主要原因是：部分医疗保险待支付。</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10.医疗卫生与计划生育支出（类）行政事业单位医疗（款）事业单位医疗（项），支出功能分类科目编码2101102。年初预算为13.52万元，支出决算为20.38万元，完成年初预算的150.74%，决算数大于预算数的主要原因是：部分事业单位医疗费用按规定通过使用以前年度财政拨款结转资金解决。</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11.医疗卫生与计划生育支出（类）行政事业单位医疗（款）公务员医疗补助（项），支出功能分类科目编码2101103。年初预算为0万元，支出决算为59.55万元，决算数大于预算数的主要原因是：年初未安排财政拨款预算，年中调整增加公务员医疗补助经费财政拨款预算。</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12.医疗卫生与计划生育支出（类）行政事业单位医疗（款）其他行政事业单位医疗支出（项），支出功能分类科目编码2101199。年初预算为0万元，支出决算为0.07万元，决算数大于预算数的主要原因是：年初未安排财政拨款预算，年中调整增加其他行政事业单位医疗经费财政拨款预算。</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13.城乡社区支出（类）城乡社区规划与管理（款）城乡社区规划与管理（项），支出功能分类科目编码2120201。年初预算为0万元，支出决算为9.8万元，决算数大于预算数的主要原因是：年初未安排财政拨款预算，年中调整增加城乡社区规划与管理财政拨款预算。</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14.城乡社区支出（类）城乡社区公共设施（款）其他城乡社区公共设施（项），支出功能分类科目编码2120399。年初预算为800万元，支出决算为521.93万元，完成年初预算的65.24%。决算数小于预算数的主要原因是：由于工程项目审核存在较多不确定性及复杂性，项目大小及审核情况难以预估，项目的审核进度受以上因素的影响，从而预算的执行进度会有所延后。</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15.农林水支出（类）农业（款）其他农业支出（项），支出功能分类科目编码2130199。年初预算为0，支出决算为5万元。决算数大于预算数的原因是：年初未安排财政拨款预算，年中调整增加其他农业支出项目预算。</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16.农林水支出（类）扶贫（款）其他扶贫支出（项），支出功能分类科目编码2130599。年初预算为0，支出决算为6.45万元。决算数大于预算数的原因是：年初未安排财政拨款预算，年中调整增加其他扶贫支出项目预算。</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17.农林水支出（类）农业综合开发（款）机构运行（项），支出功能分类科目编码2130601。年初预算为0，支出决算为7.34万元。决算数大于预算数的原因是：年初未安排财政拨款预算，按规定通过使用以前年度财政拨款结转资金解决。</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18.农林水支出（类）农村综合改革（款）其他农村综合改革支出（项），支出功能分类科目编码2130799。年初预算为0，支出决算为35万元。决算数大于预算数的原因是：年初未安排财政拨款预算，年中调整增加其他农村综合改革项目预算。</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19.资源勘探信息等支出（类）制造业（款）其他制造业支出（项），支出功能分类科目编码2150299。年初预算为0，支出决算为0.32万元。决算数大于预算数的原因是：年初未安排财政拨款预算，按规定通过使用以前年度财政拨款结转资金解决。</w:t>
      </w:r>
    </w:p>
    <w:p>
      <w:pPr>
        <w:autoSpaceDE w:val="0"/>
        <w:autoSpaceDN w:val="0"/>
        <w:adjustRightInd w:val="0"/>
        <w:spacing w:line="560" w:lineRule="exact"/>
        <w:ind w:firstLine="640" w:firstLineChars="200"/>
        <w:jc w:val="left"/>
        <w:rPr>
          <w:rFonts w:ascii="仿宋_GB2312" w:eastAsia="仿宋_GB2312" w:cs="仿宋_GB2312"/>
          <w:bCs/>
          <w:color w:val="000000"/>
          <w:spacing w:val="20"/>
          <w:kern w:val="0"/>
          <w:sz w:val="32"/>
          <w:szCs w:val="32"/>
        </w:rPr>
      </w:pPr>
      <w:r>
        <w:rPr>
          <w:rFonts w:hint="eastAsia" w:ascii="仿宋_GB2312" w:eastAsia="仿宋_GB2312" w:cs="仿宋_GB2312"/>
          <w:bCs/>
          <w:color w:val="000000"/>
          <w:kern w:val="0"/>
          <w:sz w:val="32"/>
          <w:szCs w:val="32"/>
        </w:rPr>
        <w:t>20.</w:t>
      </w:r>
      <w:r>
        <w:rPr>
          <w:rFonts w:hint="eastAsia" w:ascii="仿宋_GB2312" w:eastAsia="仿宋_GB2312" w:cs="仿宋_GB2312"/>
          <w:bCs/>
          <w:color w:val="000000"/>
          <w:spacing w:val="20"/>
          <w:kern w:val="0"/>
          <w:sz w:val="32"/>
          <w:szCs w:val="32"/>
        </w:rPr>
        <w:t>住房保障支出（类）住房改革支出（款）住房公积金（项），支出功能分类科目编码2210201。年初预算为247.97万元，支出决算为251.28万元，完成年初预算的101.33%。决算数大于预算数的主要原因是：部分支出年初未安排财政拨款预算，而是按规定通过使用以前年度财政拨款结转资金解决。</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21.住房保障支出（类）住房改革支出（款）购房补贴（项），支出功能分类科目编码2210203。年初预算为0万元，支出决算为5.23万元</w:t>
      </w:r>
      <w:r>
        <w:rPr>
          <w:rFonts w:hint="eastAsia" w:ascii="仿宋_GB2312" w:eastAsia="仿宋_GB2312" w:cs="仿宋_GB2312"/>
          <w:bCs/>
          <w:color w:val="000000"/>
          <w:spacing w:val="20"/>
          <w:kern w:val="0"/>
          <w:sz w:val="32"/>
          <w:szCs w:val="32"/>
        </w:rPr>
        <w:t>，</w:t>
      </w:r>
      <w:r>
        <w:rPr>
          <w:rFonts w:hint="eastAsia" w:ascii="仿宋_GB2312" w:eastAsia="仿宋_GB2312" w:cs="仿宋_GB2312"/>
          <w:bCs/>
          <w:color w:val="000000"/>
          <w:kern w:val="0"/>
          <w:sz w:val="32"/>
          <w:szCs w:val="32"/>
        </w:rPr>
        <w:t>决算数大于预算数的主要原因是：年初未安排财政拨款预算，年中调整增加购房补贴财政拨款预算。</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kern w:val="0"/>
          <w:sz w:val="32"/>
          <w:szCs w:val="32"/>
        </w:rPr>
        <w:t>六、</w:t>
      </w:r>
      <w:r>
        <w:rPr>
          <w:rFonts w:hint="eastAsia" w:ascii="仿宋_GB2312" w:eastAsia="仿宋_GB2312" w:cs="仿宋_GB2312"/>
          <w:b/>
          <w:kern w:val="0"/>
          <w:sz w:val="32"/>
          <w:szCs w:val="32"/>
        </w:rPr>
        <w:t>2018年度一般公共预算财政拨款基本支出决算情况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2018年度财政拨款基本支出4483.28万元，其中：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3388.74万元，主要包括：基本工资、津贴补贴、奖金、伙食补助费、绩效工资、机关事业单位基本养老保险缴费、职工基本医疗保险缴费、公务员医疗补助缴费、其他社会保障缴费、住房公积金、医疗费、其他工资福利支出、退休费、抚恤金、生活补助、医疗费补助、奖励金、其他对个人和家庭的补助；</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1094.54万元，主要包括：办公费、印刷费、咨询费、手续费、水费、电费、邮电费、物业管理费、差旅费、因公出国（境）费、维修（护）费、租赁费、会议费、培训费、公务接待费、专业材料费、劳务费、委托业务费、工会经费、福利费、公务用车运行维护费、其他交通费用、税金及附加费用、其他商品和服务支出、办公设备购置、专用设备购置、信息网络及软件购置更新、其他资本性支出。</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color w:val="000000"/>
          <w:kern w:val="0"/>
          <w:sz w:val="32"/>
          <w:szCs w:val="32"/>
        </w:rPr>
        <w:t>七、</w:t>
      </w:r>
      <w:r>
        <w:rPr>
          <w:rFonts w:hint="eastAsia" w:ascii="仿宋_GB2312" w:eastAsia="仿宋_GB2312" w:cs="仿宋_GB2312"/>
          <w:b/>
          <w:color w:val="000000"/>
          <w:kern w:val="0"/>
          <w:sz w:val="32"/>
          <w:szCs w:val="32"/>
        </w:rPr>
        <w:t>2</w:t>
      </w:r>
      <w:r>
        <w:rPr>
          <w:rFonts w:hint="eastAsia" w:ascii="仿宋_GB2312" w:eastAsia="仿宋_GB2312" w:cs="仿宋_GB2312"/>
          <w:b/>
          <w:kern w:val="0"/>
          <w:sz w:val="32"/>
          <w:szCs w:val="32"/>
        </w:rPr>
        <w:t>018年度一般公共预算财政拨款“三公”经费支出决算情况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2018年度“三公”经费财政拨款支出预算为27.08万元，支出决算为23.61万元，完成预算的87.19%，其中：</w:t>
      </w:r>
      <w:r>
        <w:rPr>
          <w:rFonts w:hint="eastAsia" w:ascii="仿宋_GB2312" w:eastAsia="仿宋_GB2312" w:cs="仿宋_GB2312"/>
          <w:bCs/>
          <w:color w:val="000000"/>
          <w:kern w:val="0"/>
          <w:sz w:val="32"/>
          <w:szCs w:val="32"/>
        </w:rPr>
        <w:t>因公出国（境）费支出决算为13.25万元，完成预算的100%；公务用车购置及运行费支出决算为6.45万元，</w:t>
      </w:r>
      <w:r>
        <w:rPr>
          <w:rFonts w:hint="eastAsia" w:ascii="仿宋_GB2312" w:eastAsia="仿宋_GB2312" w:cs="仿宋_GB2312"/>
          <w:bCs/>
          <w:kern w:val="0"/>
          <w:sz w:val="32"/>
          <w:szCs w:val="32"/>
        </w:rPr>
        <w:t>完成预算的80.63%；公务接待费支出决算为3.91万元，完成预算的67.07%。2018年度“三公”经费支出决算数小于预算数的主要原因是认真</w:t>
      </w:r>
      <w:r>
        <w:rPr>
          <w:rFonts w:hint="eastAsia" w:ascii="仿宋_GB2312" w:eastAsia="仿宋_GB2312" w:cs="仿宋_GB2312"/>
          <w:bCs/>
          <w:kern w:val="0"/>
          <w:sz w:val="32"/>
          <w:szCs w:val="32"/>
          <w:lang w:eastAsia="zh-CN"/>
        </w:rPr>
        <w:t>贯彻落实中央八项规定</w:t>
      </w:r>
      <w:r>
        <w:rPr>
          <w:rFonts w:hint="eastAsia" w:ascii="仿宋_GB2312" w:eastAsia="仿宋_GB2312" w:cs="仿宋_GB2312"/>
          <w:bCs/>
          <w:kern w:val="0"/>
          <w:sz w:val="32"/>
          <w:szCs w:val="32"/>
        </w:rPr>
        <w:t>精神和厉行节约要求，进一步从严控制“三公”经费开支，全年实际支出比预算有所节约。</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2018年度“三公”经费财政拨款支出决算数比2017年减少3.28万元，下降12.2%，其中：</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因公出国（境）费支出决算增加5.73万元，增长76.20%；增加的主要原因是：</w:t>
      </w:r>
      <w:r>
        <w:rPr>
          <w:rFonts w:hint="eastAsia" w:ascii="仿宋_GB2312" w:eastAsia="仿宋_GB2312" w:cs="仿宋_GB2312"/>
          <w:kern w:val="0"/>
          <w:sz w:val="32"/>
          <w:szCs w:val="32"/>
        </w:rPr>
        <w:t>2018年出国人次比2017年增加1人次（2018年出国人次3人次，2017年出国人次2人次），费用增加。</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color w:val="000000"/>
          <w:kern w:val="0"/>
          <w:sz w:val="32"/>
          <w:szCs w:val="32"/>
        </w:rPr>
        <w:t>减少6.83万元，下降51.43%。减少的主要原因是：</w:t>
      </w:r>
      <w:r>
        <w:rPr>
          <w:rFonts w:hint="eastAsia" w:ascii="仿宋_GB2312" w:eastAsia="仿宋_GB2312" w:cs="仿宋_GB2312"/>
          <w:color w:val="000000"/>
          <w:kern w:val="0"/>
          <w:sz w:val="32"/>
          <w:szCs w:val="32"/>
        </w:rPr>
        <w:t>2017年购买了2018年度</w:t>
      </w:r>
      <w:r>
        <w:rPr>
          <w:rFonts w:hint="eastAsia" w:ascii="仿宋_GB2312" w:eastAsia="仿宋_GB2312" w:cs="仿宋_GB2312"/>
          <w:color w:val="000000"/>
          <w:spacing w:val="-6"/>
          <w:kern w:val="0"/>
          <w:sz w:val="32"/>
          <w:szCs w:val="32"/>
        </w:rPr>
        <w:t>的车辆保险费。</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公务接待费支出决算减少2.18万元，下降35.8%。</w:t>
      </w:r>
      <w:r>
        <w:rPr>
          <w:rFonts w:hint="eastAsia" w:ascii="仿宋_GB2312" w:eastAsia="仿宋_GB2312" w:cs="仿宋_GB2312"/>
          <w:kern w:val="0"/>
          <w:sz w:val="32"/>
          <w:szCs w:val="32"/>
        </w:rPr>
        <w:t>减少的</w:t>
      </w:r>
      <w:r>
        <w:rPr>
          <w:rFonts w:hint="eastAsia" w:ascii="仿宋_GB2312" w:eastAsia="仿宋_GB2312" w:cs="仿宋_GB2312"/>
          <w:bCs/>
          <w:kern w:val="0"/>
          <w:sz w:val="32"/>
          <w:szCs w:val="32"/>
        </w:rPr>
        <w:t>主要原因是</w:t>
      </w:r>
      <w:r>
        <w:rPr>
          <w:rFonts w:hint="eastAsia" w:ascii="仿宋_GB2312" w:eastAsia="仿宋_GB2312" w:cs="仿宋_GB2312"/>
          <w:kern w:val="0"/>
          <w:sz w:val="32"/>
          <w:szCs w:val="32"/>
        </w:rPr>
        <w:t>接待人次下降</w:t>
      </w:r>
      <w:r>
        <w:rPr>
          <w:rFonts w:hint="eastAsia" w:ascii="仿宋_GB2312" w:eastAsia="仿宋_GB2312" w:cs="仿宋_GB2312"/>
          <w:bCs/>
          <w:kern w:val="0"/>
          <w:sz w:val="32"/>
          <w:szCs w:val="32"/>
        </w:rPr>
        <w:t>。</w:t>
      </w:r>
    </w:p>
    <w:p>
      <w:pPr>
        <w:autoSpaceDE w:val="0"/>
        <w:autoSpaceDN w:val="0"/>
        <w:adjustRightInd w:val="0"/>
        <w:spacing w:line="560" w:lineRule="exact"/>
        <w:ind w:firstLine="627" w:firstLineChars="196"/>
        <w:jc w:val="left"/>
        <w:rPr>
          <w:rFonts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2018年度“三公”经费财政拨款支出决算中，因公出国（境）费支出决算13.25万元，占56.12%；公务用车购置及运行费支出决算6.45万元，占27.32%；公务接待费支出决算3.91万元，占16.56%。具体情况如下：</w:t>
      </w:r>
    </w:p>
    <w:p>
      <w:pPr>
        <w:autoSpaceDE w:val="0"/>
        <w:autoSpaceDN w:val="0"/>
        <w:adjustRightInd w:val="0"/>
        <w:spacing w:line="560" w:lineRule="exact"/>
        <w:ind w:firstLine="640" w:firstLineChars="200"/>
        <w:jc w:val="left"/>
        <w:rPr>
          <w:rFonts w:ascii="仿宋_GB2312" w:hAnsi="黑体" w:eastAsia="仿宋_GB2312"/>
          <w:bCs/>
          <w:color w:val="000000"/>
          <w:sz w:val="32"/>
          <w:szCs w:val="32"/>
        </w:rPr>
      </w:pPr>
      <w:r>
        <w:rPr>
          <w:rFonts w:hint="eastAsia" w:ascii="仿宋_GB2312" w:eastAsia="仿宋_GB2312" w:cs="仿宋_GB2312"/>
          <w:bCs/>
          <w:kern w:val="0"/>
          <w:sz w:val="32"/>
          <w:szCs w:val="32"/>
        </w:rPr>
        <w:t>1.因公出国（境）费支出13.25万元。</w:t>
      </w:r>
      <w:r>
        <w:rPr>
          <w:rFonts w:hint="eastAsia" w:ascii="仿宋_GB2312" w:eastAsia="仿宋_GB2312" w:cs="仿宋_GB2312"/>
          <w:kern w:val="0"/>
          <w:sz w:val="32"/>
          <w:szCs w:val="32"/>
        </w:rPr>
        <w:t>全年</w:t>
      </w:r>
      <w:r>
        <w:rPr>
          <w:rFonts w:ascii="仿宋_GB2312" w:hAnsi="黑体" w:eastAsia="仿宋_GB2312"/>
          <w:bCs/>
          <w:color w:val="000000"/>
          <w:sz w:val="32"/>
          <w:szCs w:val="32"/>
        </w:rPr>
        <w:t>参加</w:t>
      </w:r>
      <w:r>
        <w:rPr>
          <w:rFonts w:hint="eastAsia" w:ascii="仿宋_GB2312" w:hAnsi="黑体" w:eastAsia="仿宋_GB2312"/>
          <w:bCs/>
          <w:color w:val="000000"/>
          <w:sz w:val="32"/>
          <w:szCs w:val="32"/>
        </w:rPr>
        <w:t>因公出国（</w:t>
      </w:r>
      <w:r>
        <w:rPr>
          <w:rFonts w:ascii="仿宋_GB2312" w:hAnsi="黑体" w:eastAsia="仿宋_GB2312"/>
          <w:bCs/>
          <w:color w:val="000000"/>
          <w:sz w:val="32"/>
          <w:szCs w:val="32"/>
        </w:rPr>
        <w:t>境</w:t>
      </w:r>
      <w:r>
        <w:rPr>
          <w:rFonts w:hint="eastAsia" w:ascii="仿宋_GB2312" w:hAnsi="黑体" w:eastAsia="仿宋_GB2312"/>
          <w:bCs/>
          <w:color w:val="000000"/>
          <w:sz w:val="32"/>
          <w:szCs w:val="32"/>
        </w:rPr>
        <w:t>）</w:t>
      </w:r>
      <w:r>
        <w:rPr>
          <w:rFonts w:ascii="仿宋_GB2312" w:hAnsi="黑体" w:eastAsia="仿宋_GB2312"/>
          <w:bCs/>
          <w:color w:val="000000"/>
          <w:sz w:val="32"/>
          <w:szCs w:val="32"/>
        </w:rPr>
        <w:t>团组</w:t>
      </w:r>
      <w:r>
        <w:rPr>
          <w:rFonts w:hint="eastAsia" w:ascii="仿宋_GB2312" w:hAnsi="黑体" w:eastAsia="仿宋_GB2312"/>
          <w:bCs/>
          <w:color w:val="000000"/>
          <w:sz w:val="32"/>
          <w:szCs w:val="32"/>
        </w:rPr>
        <w:t>3个，累计3人次。用于以下会议（培训、公务）：区财政厅组织的财政预算绩效目标和预算绩效评价管理项目培训支出5.98万元、柳州市政府洽谈汽车产业合作项目支出6.5</w:t>
      </w:r>
      <w:r>
        <w:rPr>
          <w:rFonts w:ascii="仿宋_GB2312" w:hAnsi="黑体" w:eastAsia="仿宋_GB2312"/>
          <w:bCs/>
          <w:color w:val="000000"/>
          <w:sz w:val="32"/>
          <w:szCs w:val="32"/>
        </w:rPr>
        <w:t>万</w:t>
      </w:r>
      <w:r>
        <w:rPr>
          <w:rFonts w:hint="eastAsia" w:ascii="仿宋_GB2312" w:hAnsi="黑体" w:eastAsia="仿宋_GB2312"/>
          <w:bCs/>
          <w:color w:val="000000"/>
          <w:sz w:val="32"/>
          <w:szCs w:val="32"/>
        </w:rPr>
        <w:t>元、广西柳州市东城投资开发集团有限公司境外债券路演工作0.76万元。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2.公务用车购置及运行费支出6.45万元。其中：公务用车购置支出为0万元，公务用车运行支出6.45万元。主要用于</w:t>
      </w:r>
      <w:r>
        <w:rPr>
          <w:rFonts w:hint="eastAsia" w:ascii="仿宋_GB2312" w:eastAsia="仿宋_GB2312" w:cs="仿宋_GB2312"/>
          <w:kern w:val="0"/>
          <w:sz w:val="32"/>
          <w:szCs w:val="32"/>
        </w:rPr>
        <w:t>机要文件交换、</w:t>
      </w:r>
      <w:r>
        <w:rPr>
          <w:rFonts w:ascii="仿宋_GB2312" w:eastAsia="仿宋_GB2312" w:cs="仿宋_GB2312"/>
          <w:kern w:val="0"/>
          <w:sz w:val="32"/>
          <w:szCs w:val="32"/>
        </w:rPr>
        <w:t>市内</w:t>
      </w:r>
      <w:r>
        <w:rPr>
          <w:rFonts w:hint="eastAsia" w:ascii="仿宋_GB2312" w:eastAsia="仿宋_GB2312" w:cs="仿宋_GB2312"/>
          <w:kern w:val="0"/>
          <w:sz w:val="32"/>
          <w:szCs w:val="32"/>
        </w:rPr>
        <w:t>因公出行以及开展财政业务所需车辆燃料费、</w:t>
      </w:r>
      <w:r>
        <w:rPr>
          <w:rFonts w:ascii="仿宋_GB2312" w:eastAsia="仿宋_GB2312" w:cs="仿宋_GB2312"/>
          <w:kern w:val="0"/>
          <w:sz w:val="32"/>
          <w:szCs w:val="32"/>
        </w:rPr>
        <w:t>维修</w:t>
      </w:r>
      <w:r>
        <w:rPr>
          <w:rFonts w:hint="eastAsia" w:ascii="仿宋_GB2312" w:eastAsia="仿宋_GB2312" w:cs="仿宋_GB2312"/>
          <w:kern w:val="0"/>
          <w:sz w:val="32"/>
          <w:szCs w:val="32"/>
        </w:rPr>
        <w:t>费、</w:t>
      </w:r>
      <w:r>
        <w:rPr>
          <w:rFonts w:ascii="仿宋_GB2312" w:eastAsia="仿宋_GB2312" w:cs="仿宋_GB2312"/>
          <w:kern w:val="0"/>
          <w:sz w:val="32"/>
          <w:szCs w:val="32"/>
        </w:rPr>
        <w:t>过路过桥</w:t>
      </w:r>
      <w:r>
        <w:rPr>
          <w:rFonts w:hint="eastAsia" w:ascii="仿宋_GB2312" w:eastAsia="仿宋_GB2312" w:cs="仿宋_GB2312"/>
          <w:kern w:val="0"/>
          <w:sz w:val="32"/>
          <w:szCs w:val="32"/>
        </w:rPr>
        <w:t>费、</w:t>
      </w:r>
      <w:r>
        <w:rPr>
          <w:rFonts w:ascii="仿宋_GB2312" w:eastAsia="仿宋_GB2312" w:cs="仿宋_GB2312"/>
          <w:kern w:val="0"/>
          <w:sz w:val="32"/>
          <w:szCs w:val="32"/>
        </w:rPr>
        <w:t>保险费</w:t>
      </w:r>
      <w:r>
        <w:rPr>
          <w:rFonts w:hint="eastAsia" w:ascii="仿宋_GB2312" w:eastAsia="仿宋_GB2312" w:cs="仿宋_GB2312"/>
          <w:kern w:val="0"/>
          <w:sz w:val="32"/>
          <w:szCs w:val="32"/>
        </w:rPr>
        <w:t>等。</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3.公务接待费支出3.91万元。其中：</w:t>
      </w:r>
    </w:p>
    <w:p>
      <w:pPr>
        <w:autoSpaceDE w:val="0"/>
        <w:autoSpaceDN w:val="0"/>
        <w:adjustRightInd w:val="0"/>
        <w:spacing w:line="560" w:lineRule="exact"/>
        <w:ind w:firstLine="640" w:firstLineChars="200"/>
        <w:jc w:val="left"/>
        <w:rPr>
          <w:rFonts w:hint="eastAsia" w:ascii="仿宋_GB2312" w:eastAsia="仿宋_GB2312" w:cs="仿宋_GB2312"/>
          <w:bCs/>
          <w:color w:val="000000"/>
          <w:kern w:val="0"/>
          <w:sz w:val="32"/>
          <w:szCs w:val="32"/>
        </w:rPr>
      </w:pPr>
      <w:r>
        <w:rPr>
          <w:rFonts w:hint="eastAsia" w:ascii="仿宋_GB2312" w:eastAsia="仿宋_GB2312" w:cs="仿宋_GB2312"/>
          <w:bCs/>
          <w:kern w:val="0"/>
          <w:sz w:val="32"/>
          <w:szCs w:val="32"/>
        </w:rPr>
        <w:t>国内公务接待支出3.91万元。主要用于</w:t>
      </w:r>
      <w:r>
        <w:rPr>
          <w:rFonts w:hint="eastAsia" w:ascii="仿宋_GB2312" w:eastAsia="仿宋_GB2312" w:cs="仿宋_GB2312"/>
          <w:kern w:val="0"/>
          <w:sz w:val="32"/>
          <w:szCs w:val="32"/>
        </w:rPr>
        <w:t>相关单位交流工作情况及接受相关部门检查指导工作发生的接待支出</w:t>
      </w:r>
      <w:r>
        <w:rPr>
          <w:rFonts w:hint="eastAsia" w:ascii="仿宋_GB2312" w:eastAsia="仿宋_GB2312" w:cs="仿宋_GB2312"/>
          <w:bCs/>
          <w:kern w:val="0"/>
          <w:sz w:val="32"/>
          <w:szCs w:val="32"/>
        </w:rPr>
        <w:t>。</w:t>
      </w:r>
      <w:r>
        <w:rPr>
          <w:rFonts w:hint="eastAsia" w:ascii="仿宋_GB2312" w:eastAsia="仿宋_GB2312" w:cs="仿宋_GB2312"/>
          <w:bCs/>
          <w:color w:val="000000"/>
          <w:kern w:val="0"/>
          <w:sz w:val="32"/>
          <w:szCs w:val="32"/>
        </w:rPr>
        <w:t>2018年共接待国内来访团组52个、来宾365人次。</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4.公务用车保有量为2辆。</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kern w:val="0"/>
          <w:sz w:val="32"/>
          <w:szCs w:val="32"/>
        </w:rPr>
        <w:t>八、</w:t>
      </w:r>
      <w:r>
        <w:rPr>
          <w:rFonts w:hint="eastAsia" w:ascii="仿宋_GB2312" w:eastAsia="仿宋_GB2312" w:cs="仿宋_GB2312"/>
          <w:b/>
          <w:kern w:val="0"/>
          <w:sz w:val="32"/>
          <w:szCs w:val="32"/>
        </w:rPr>
        <w:t>2018年度政府性基金预算财政拨款收入支出决算情况说明</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本部门无</w:t>
      </w:r>
      <w:r>
        <w:rPr>
          <w:rFonts w:hint="eastAsia" w:ascii="仿宋_GB2312" w:eastAsia="仿宋_GB2312" w:cs="仿宋_GB2312"/>
          <w:kern w:val="0"/>
          <w:sz w:val="32"/>
          <w:szCs w:val="32"/>
        </w:rPr>
        <w:t>政府性基金预算财政拨款收入支出决算数据。</w:t>
      </w:r>
    </w:p>
    <w:p>
      <w:pPr>
        <w:autoSpaceDE w:val="0"/>
        <w:autoSpaceDN w:val="0"/>
        <w:adjustRightInd w:val="0"/>
        <w:spacing w:line="560" w:lineRule="exact"/>
        <w:ind w:firstLine="643" w:firstLineChars="200"/>
        <w:jc w:val="left"/>
        <w:rPr>
          <w:rFonts w:ascii="仿宋_GB2312" w:eastAsia="仿宋_GB2312" w:cs="仿宋_GB2312"/>
          <w:b/>
          <w:color w:val="000000"/>
          <w:kern w:val="0"/>
          <w:sz w:val="32"/>
          <w:szCs w:val="32"/>
        </w:rPr>
      </w:pPr>
      <w:r>
        <w:rPr>
          <w:rFonts w:hint="eastAsia" w:ascii="仿宋_GB2312" w:eastAsia="仿宋_GB2312" w:cs="仿宋_GB2312"/>
          <w:b/>
          <w:color w:val="000000"/>
          <w:kern w:val="0"/>
          <w:sz w:val="32"/>
          <w:szCs w:val="32"/>
        </w:rPr>
        <w:t>九、</w:t>
      </w:r>
      <w:r>
        <w:rPr>
          <w:rFonts w:hint="eastAsia" w:ascii="仿宋_GB2312" w:eastAsia="仿宋_GB2312"/>
          <w:b/>
          <w:color w:val="000000"/>
          <w:kern w:val="0"/>
          <w:sz w:val="32"/>
          <w:szCs w:val="32"/>
        </w:rPr>
        <w:t>2018</w:t>
      </w:r>
      <w:r>
        <w:rPr>
          <w:rFonts w:hint="eastAsia" w:ascii="仿宋_GB2312" w:eastAsia="仿宋_GB2312" w:cs="仿宋_GB2312"/>
          <w:b/>
          <w:color w:val="000000"/>
          <w:kern w:val="0"/>
          <w:sz w:val="32"/>
          <w:szCs w:val="32"/>
        </w:rPr>
        <w:t>年度预算绩效情况说明</w:t>
      </w:r>
    </w:p>
    <w:p>
      <w:pPr>
        <w:autoSpaceDE w:val="0"/>
        <w:autoSpaceDN w:val="0"/>
        <w:adjustRightInd w:val="0"/>
        <w:spacing w:line="560" w:lineRule="exact"/>
        <w:ind w:firstLine="640" w:firstLineChars="200"/>
        <w:jc w:val="left"/>
        <w:rPr>
          <w:rFonts w:ascii="仿宋_GB2312" w:eastAsia="仿宋_GB2312" w:cs="仿宋_GB2312"/>
          <w:b/>
          <w:color w:val="000000"/>
          <w:kern w:val="0"/>
          <w:sz w:val="32"/>
          <w:szCs w:val="32"/>
        </w:rPr>
      </w:pPr>
      <w:r>
        <w:rPr>
          <w:rFonts w:hint="eastAsia" w:ascii="仿宋_GB2312" w:eastAsia="仿宋_GB2312" w:cs="仿宋_GB2312"/>
          <w:bCs/>
          <w:color w:val="000000"/>
          <w:kern w:val="0"/>
          <w:sz w:val="32"/>
          <w:szCs w:val="32"/>
        </w:rPr>
        <w:t>（一）绩效管理工作开展情况</w:t>
      </w:r>
    </w:p>
    <w:p>
      <w:pPr>
        <w:autoSpaceDE w:val="0"/>
        <w:autoSpaceDN w:val="0"/>
        <w:adjustRightInd w:val="0"/>
        <w:spacing w:line="56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根据财政预算管理要求，我部门组织对2018年度一般公共预算项目支出全面开展绩效自评。其中，一级项目3个，二级项目0个，共涉及预算资金1220万元，自评覆盖率达到 100%）。</w:t>
      </w:r>
    </w:p>
    <w:p>
      <w:pPr>
        <w:autoSpaceDE w:val="0"/>
        <w:autoSpaceDN w:val="0"/>
        <w:adjustRightInd w:val="0"/>
        <w:spacing w:line="560" w:lineRule="exact"/>
        <w:ind w:firstLine="640" w:firstLineChars="200"/>
        <w:jc w:val="left"/>
        <w:rPr>
          <w:rFonts w:ascii="仿宋_GB2312" w:eastAsia="仿宋_GB2312" w:cs="仿宋_GB2312"/>
          <w:bCs/>
          <w:color w:val="000000"/>
          <w:spacing w:val="16"/>
          <w:kern w:val="0"/>
          <w:sz w:val="32"/>
          <w:szCs w:val="32"/>
        </w:rPr>
      </w:pPr>
      <w:r>
        <w:rPr>
          <w:rFonts w:hint="eastAsia" w:ascii="仿宋_GB2312" w:eastAsia="仿宋_GB2312" w:cs="仿宋_GB2312"/>
          <w:bCs/>
          <w:color w:val="000000"/>
          <w:kern w:val="0"/>
          <w:sz w:val="32"/>
          <w:szCs w:val="32"/>
        </w:rPr>
        <w:t>（二）部门决算中项目绩效自评结果。</w:t>
      </w:r>
    </w:p>
    <w:p>
      <w:pPr>
        <w:autoSpaceDE w:val="0"/>
        <w:autoSpaceDN w:val="0"/>
        <w:adjustRightInd w:val="0"/>
        <w:spacing w:line="560" w:lineRule="exact"/>
        <w:ind w:firstLine="704" w:firstLineChars="200"/>
        <w:jc w:val="left"/>
        <w:rPr>
          <w:rFonts w:ascii="仿宋_GB2312" w:eastAsia="仿宋_GB2312" w:cs="仿宋_GB2312"/>
          <w:bCs/>
          <w:color w:val="000000"/>
          <w:spacing w:val="16"/>
          <w:kern w:val="0"/>
          <w:sz w:val="32"/>
          <w:szCs w:val="32"/>
        </w:rPr>
      </w:pPr>
      <w:r>
        <w:rPr>
          <w:rFonts w:hint="eastAsia" w:ascii="仿宋_GB2312" w:eastAsia="仿宋_GB2312" w:cs="仿宋_GB2312"/>
          <w:bCs/>
          <w:color w:val="000000"/>
          <w:spacing w:val="16"/>
          <w:kern w:val="0"/>
          <w:sz w:val="32"/>
          <w:szCs w:val="32"/>
        </w:rPr>
        <w:t>绩效评价结果显示，2个项目未达到项目申请时设定的绩效目标，今后的支出进度有待加快。</w:t>
      </w:r>
    </w:p>
    <w:p>
      <w:pPr>
        <w:autoSpaceDE w:val="0"/>
        <w:autoSpaceDN w:val="0"/>
        <w:adjustRightInd w:val="0"/>
        <w:spacing w:line="560" w:lineRule="exact"/>
        <w:ind w:firstLine="704" w:firstLineChars="200"/>
        <w:jc w:val="left"/>
        <w:rPr>
          <w:rFonts w:ascii="仿宋_GB2312" w:eastAsia="仿宋_GB2312" w:cs="仿宋_GB2312"/>
          <w:bCs/>
          <w:color w:val="000000"/>
          <w:spacing w:val="16"/>
          <w:kern w:val="0"/>
          <w:sz w:val="32"/>
          <w:szCs w:val="32"/>
        </w:rPr>
      </w:pPr>
      <w:r>
        <w:rPr>
          <w:rFonts w:hint="eastAsia" w:ascii="仿宋_GB2312" w:eastAsia="仿宋_GB2312" w:cs="仿宋_GB2312"/>
          <w:bCs/>
          <w:color w:val="000000"/>
          <w:spacing w:val="16"/>
          <w:kern w:val="0"/>
          <w:sz w:val="32"/>
          <w:szCs w:val="32"/>
        </w:rPr>
        <w:t>其中：评审中心委托评审经费因送审的项目存在不确定性及延续性，项目审核时间及结果也存在不确定性，部分项目未能在本年完成，需延续到下年，故未结算付款，未达到绩效目标；</w:t>
      </w:r>
      <w:r>
        <w:rPr>
          <w:rFonts w:hint="eastAsia" w:ascii="仿宋_GB2312" w:eastAsia="仿宋_GB2312" w:cs="仿宋_GB2312"/>
          <w:bCs/>
          <w:color w:val="000000"/>
          <w:kern w:val="0"/>
          <w:sz w:val="32"/>
          <w:szCs w:val="32"/>
        </w:rPr>
        <w:t>市非税收入管理局部分票据印刷费待支付，也未达到绩效目标</w:t>
      </w:r>
      <w:r>
        <w:rPr>
          <w:rFonts w:hint="eastAsia" w:ascii="仿宋_GB2312" w:eastAsia="仿宋_GB2312" w:cs="仿宋_GB2312"/>
          <w:bCs/>
          <w:color w:val="000000"/>
          <w:spacing w:val="16"/>
          <w:kern w:val="0"/>
          <w:sz w:val="32"/>
          <w:szCs w:val="32"/>
        </w:rPr>
        <w:t>。</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（一）机关运行经费支出情况。2018年本部门机关运行</w:t>
      </w:r>
      <w:r>
        <w:rPr>
          <w:rFonts w:hint="eastAsia" w:ascii="仿宋_GB2312" w:eastAsia="仿宋_GB2312" w:cs="仿宋_GB2312"/>
          <w:spacing w:val="22"/>
          <w:kern w:val="0"/>
          <w:sz w:val="32"/>
          <w:szCs w:val="32"/>
        </w:rPr>
        <w:t>经费支出1020.09万元，比2017年增加207.58万元，增长25.55%。主要</w:t>
      </w:r>
      <w:r>
        <w:rPr>
          <w:rFonts w:hint="eastAsia" w:ascii="仿宋_GB2312" w:eastAsia="仿宋_GB2312" w:cs="仿宋_GB2312"/>
          <w:kern w:val="0"/>
          <w:sz w:val="32"/>
          <w:szCs w:val="32"/>
        </w:rPr>
        <w:t>原因是：2018年增加了在职人员通讯补贴支出；财务对经费核算进行调账处理。</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（二）政府采购支出情况。2018年本部门政府采购支出总额264.41万元，其中：货物支出127.80万元、服务支出136.61万元。</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（三）国有资产占用情况。截至年末本部门共有车辆2辆，主要是公务用车2 辆；单价50万元以上通用设备8台（套），单价100 万元以上专用设备0台（套）。 </w:t>
      </w:r>
    </w:p>
    <w:p>
      <w:pPr>
        <w:ind w:firstLine="964" w:firstLineChars="300"/>
        <w:jc w:val="center"/>
        <w:rPr>
          <w:rFonts w:ascii="仿宋_GB2312" w:eastAsia="仿宋_GB2312"/>
          <w:b/>
          <w:sz w:val="32"/>
          <w:szCs w:val="32"/>
        </w:rPr>
      </w:pPr>
    </w:p>
    <w:p>
      <w:pPr>
        <w:ind w:firstLine="964" w:firstLineChars="300"/>
        <w:jc w:val="center"/>
        <w:rPr>
          <w:rFonts w:ascii="仿宋_GB2312" w:eastAsia="仿宋_GB2312"/>
          <w:b/>
          <w:sz w:val="32"/>
          <w:szCs w:val="32"/>
        </w:rPr>
      </w:pPr>
    </w:p>
    <w:p>
      <w:pPr>
        <w:ind w:firstLine="964" w:firstLineChars="300"/>
        <w:jc w:val="center"/>
        <w:rPr>
          <w:rFonts w:ascii="仿宋_GB2312" w:eastAsia="仿宋_GB2312"/>
          <w:b/>
          <w:sz w:val="32"/>
          <w:szCs w:val="32"/>
        </w:rPr>
      </w:pPr>
    </w:p>
    <w:p>
      <w:pPr>
        <w:ind w:firstLine="964" w:firstLineChars="300"/>
        <w:jc w:val="center"/>
        <w:rPr>
          <w:rFonts w:ascii="仿宋_GB2312" w:eastAsia="仿宋_GB2312"/>
          <w:b/>
          <w:sz w:val="32"/>
          <w:szCs w:val="32"/>
        </w:rPr>
      </w:pPr>
    </w:p>
    <w:p>
      <w:pPr>
        <w:ind w:firstLine="964" w:firstLineChars="300"/>
        <w:jc w:val="center"/>
        <w:rPr>
          <w:rFonts w:ascii="仿宋_GB2312" w:eastAsia="仿宋_GB2312"/>
          <w:b/>
          <w:sz w:val="32"/>
          <w:szCs w:val="32"/>
        </w:rPr>
      </w:pPr>
    </w:p>
    <w:p>
      <w:pPr>
        <w:ind w:firstLine="964" w:firstLineChars="300"/>
        <w:jc w:val="center"/>
        <w:rPr>
          <w:rFonts w:ascii="仿宋_GB2312" w:eastAsia="仿宋_GB2312"/>
          <w:b/>
          <w:sz w:val="32"/>
          <w:szCs w:val="32"/>
        </w:rPr>
      </w:pPr>
    </w:p>
    <w:p>
      <w:pPr>
        <w:ind w:firstLine="964" w:firstLineChars="300"/>
        <w:jc w:val="center"/>
        <w:rPr>
          <w:rFonts w:ascii="仿宋_GB2312" w:eastAsia="仿宋_GB2312"/>
          <w:b/>
          <w:sz w:val="32"/>
          <w:szCs w:val="32"/>
        </w:rPr>
      </w:pPr>
    </w:p>
    <w:p>
      <w:pPr>
        <w:spacing w:line="560" w:lineRule="exact"/>
        <w:jc w:val="center"/>
        <w:rPr>
          <w:rFonts w:ascii="仿宋_GB2312" w:eastAsia="仿宋_GB2312"/>
          <w:b/>
          <w:sz w:val="32"/>
          <w:szCs w:val="32"/>
        </w:rPr>
      </w:pPr>
      <w:r>
        <w:rPr>
          <w:rFonts w:hint="eastAsia" w:ascii="仿宋_GB2312" w:eastAsia="仿宋_GB2312"/>
          <w:b/>
          <w:sz w:val="32"/>
          <w:szCs w:val="32"/>
        </w:rPr>
        <w:t>第四部分：名词解释</w:t>
      </w:r>
    </w:p>
    <w:p>
      <w:pPr>
        <w:spacing w:line="560" w:lineRule="exact"/>
        <w:jc w:val="center"/>
        <w:rPr>
          <w:rFonts w:ascii="方正小标宋简体" w:eastAsia="方正小标宋简体"/>
          <w:sz w:val="44"/>
          <w:szCs w:val="44"/>
        </w:rPr>
      </w:pPr>
    </w:p>
    <w:p>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事业收入：指事业单位开展专业活动、辅助活动所取得的收入。</w:t>
      </w:r>
    </w:p>
    <w:p>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spacing w:line="56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bookmarkEnd w:id="0"/>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128276-CFB7-4CB3-AC68-BBA89BD715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2" w:fontKey="{FE76461F-6DE0-4BBE-B61E-8BD440AA0813}"/>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A731C128-F044-42B6-ACB4-39FDADCE1CCA}"/>
  </w:font>
  <w:font w:name="Arial">
    <w:panose1 w:val="020B0604020202020204"/>
    <w:charset w:val="00"/>
    <w:family w:val="swiss"/>
    <w:pitch w:val="default"/>
    <w:sig w:usb0="E0002EFF" w:usb1="C000785B" w:usb2="00000009" w:usb3="00000000" w:csb0="400001FF" w:csb1="FFFF0000"/>
    <w:embedRegular r:id="rId4" w:fontKey="{48095F86-625B-4D37-A1E1-003C63D10532}"/>
  </w:font>
  <w:font w:name="宋体-方正超大字符集">
    <w:altName w:val="微软雅黑"/>
    <w:panose1 w:val="00000000000000000000"/>
    <w:charset w:val="86"/>
    <w:family w:val="script"/>
    <w:pitch w:val="default"/>
    <w:sig w:usb0="00000000" w:usb1="00000000" w:usb2="00000010" w:usb3="00000000" w:csb0="00040000" w:csb1="00000000"/>
    <w:embedRegular r:id="rId5" w:fontKey="{09441BF8-6733-4FC5-B5D8-7440C9B89DF8}"/>
  </w:font>
  <w:font w:name="MingLiU">
    <w:altName w:val="PMingLiU-ExtB"/>
    <w:panose1 w:val="02010609000101010101"/>
    <w:charset w:val="88"/>
    <w:family w:val="modern"/>
    <w:pitch w:val="default"/>
    <w:sig w:usb0="00000000" w:usb1="00000000" w:usb2="00000010" w:usb3="00000000" w:csb0="00100000" w:csb1="00000000"/>
    <w:embedRegular r:id="rId6" w:fontKey="{073ECE3B-5EB1-4F01-BDC7-72F7EEE88879}"/>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28 -</w:t>
    </w:r>
    <w:r>
      <w:rPr>
        <w:rFonts w:ascii="宋体" w:hAnsi="宋体"/>
        <w:sz w:val="24"/>
        <w:szCs w:val="24"/>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BA7"/>
    <w:multiLevelType w:val="singleLevel"/>
    <w:tmpl w:val="5B3C8BA7"/>
    <w:lvl w:ilvl="0" w:tentative="0">
      <w:start w:val="1"/>
      <w:numFmt w:val="chineseCounting"/>
      <w:suff w:val="nothing"/>
      <w:lvlText w:val="%1、"/>
      <w:lvlJc w:val="left"/>
    </w:lvl>
  </w:abstractNum>
  <w:abstractNum w:abstractNumId="1">
    <w:nsid w:val="5B568139"/>
    <w:multiLevelType w:val="singleLevel"/>
    <w:tmpl w:val="5B568139"/>
    <w:lvl w:ilvl="0" w:tentative="0">
      <w:start w:val="10"/>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TU4OGE0YTE5NWJjM2Y5N2I3MDYxMmIwNzljZTk5ZDIifQ=="/>
  </w:docVars>
  <w:rsids>
    <w:rsidRoot w:val="00EE07B5"/>
    <w:rsid w:val="00000518"/>
    <w:rsid w:val="000249D2"/>
    <w:rsid w:val="000705A3"/>
    <w:rsid w:val="00070D39"/>
    <w:rsid w:val="000A5D66"/>
    <w:rsid w:val="000A6B6B"/>
    <w:rsid w:val="000E6234"/>
    <w:rsid w:val="000F465A"/>
    <w:rsid w:val="00165D0A"/>
    <w:rsid w:val="001A2FEC"/>
    <w:rsid w:val="001E7E4A"/>
    <w:rsid w:val="00210EEF"/>
    <w:rsid w:val="002D4027"/>
    <w:rsid w:val="002F6E7A"/>
    <w:rsid w:val="003618E5"/>
    <w:rsid w:val="003C3D36"/>
    <w:rsid w:val="00425EA3"/>
    <w:rsid w:val="004334FD"/>
    <w:rsid w:val="004539A7"/>
    <w:rsid w:val="0047755E"/>
    <w:rsid w:val="004C2CF6"/>
    <w:rsid w:val="004D60F2"/>
    <w:rsid w:val="00507690"/>
    <w:rsid w:val="00532090"/>
    <w:rsid w:val="0054524F"/>
    <w:rsid w:val="005462D8"/>
    <w:rsid w:val="00551BB7"/>
    <w:rsid w:val="00556710"/>
    <w:rsid w:val="005629FF"/>
    <w:rsid w:val="005977F2"/>
    <w:rsid w:val="005A0A53"/>
    <w:rsid w:val="005F6F54"/>
    <w:rsid w:val="00602109"/>
    <w:rsid w:val="006278C5"/>
    <w:rsid w:val="006325A0"/>
    <w:rsid w:val="006575FD"/>
    <w:rsid w:val="0066558B"/>
    <w:rsid w:val="006B4928"/>
    <w:rsid w:val="006D4D19"/>
    <w:rsid w:val="00701A06"/>
    <w:rsid w:val="00706AB8"/>
    <w:rsid w:val="00754462"/>
    <w:rsid w:val="00760A7B"/>
    <w:rsid w:val="00781F1C"/>
    <w:rsid w:val="00792ED6"/>
    <w:rsid w:val="007B0084"/>
    <w:rsid w:val="007C50B5"/>
    <w:rsid w:val="007D1F67"/>
    <w:rsid w:val="007E38F2"/>
    <w:rsid w:val="007E6FAD"/>
    <w:rsid w:val="007F2F4E"/>
    <w:rsid w:val="00814955"/>
    <w:rsid w:val="00836ED8"/>
    <w:rsid w:val="00854410"/>
    <w:rsid w:val="00857FA8"/>
    <w:rsid w:val="00863591"/>
    <w:rsid w:val="00891DA2"/>
    <w:rsid w:val="008A6453"/>
    <w:rsid w:val="008B7F54"/>
    <w:rsid w:val="00973386"/>
    <w:rsid w:val="00982B0D"/>
    <w:rsid w:val="009B11B7"/>
    <w:rsid w:val="009B2D5C"/>
    <w:rsid w:val="009B6BEC"/>
    <w:rsid w:val="009D112F"/>
    <w:rsid w:val="009E52D3"/>
    <w:rsid w:val="00A06D0A"/>
    <w:rsid w:val="00A1286F"/>
    <w:rsid w:val="00A2720A"/>
    <w:rsid w:val="00A362ED"/>
    <w:rsid w:val="00A364F2"/>
    <w:rsid w:val="00A70429"/>
    <w:rsid w:val="00A750F3"/>
    <w:rsid w:val="00A7600A"/>
    <w:rsid w:val="00A81E98"/>
    <w:rsid w:val="00B05A43"/>
    <w:rsid w:val="00B15B29"/>
    <w:rsid w:val="00B35F81"/>
    <w:rsid w:val="00B36E36"/>
    <w:rsid w:val="00B50B0F"/>
    <w:rsid w:val="00BE22A1"/>
    <w:rsid w:val="00C17CB4"/>
    <w:rsid w:val="00C3151C"/>
    <w:rsid w:val="00C3587D"/>
    <w:rsid w:val="00C37680"/>
    <w:rsid w:val="00C84224"/>
    <w:rsid w:val="00C86AC0"/>
    <w:rsid w:val="00CA2EEB"/>
    <w:rsid w:val="00CA7FD6"/>
    <w:rsid w:val="00CB2B11"/>
    <w:rsid w:val="00CE5BE6"/>
    <w:rsid w:val="00D068CE"/>
    <w:rsid w:val="00D25A33"/>
    <w:rsid w:val="00D30225"/>
    <w:rsid w:val="00D41FC1"/>
    <w:rsid w:val="00D85035"/>
    <w:rsid w:val="00D918BE"/>
    <w:rsid w:val="00DA473E"/>
    <w:rsid w:val="00E042B3"/>
    <w:rsid w:val="00E05558"/>
    <w:rsid w:val="00E121F4"/>
    <w:rsid w:val="00E35307"/>
    <w:rsid w:val="00E42E52"/>
    <w:rsid w:val="00E708D9"/>
    <w:rsid w:val="00E95150"/>
    <w:rsid w:val="00EC14E8"/>
    <w:rsid w:val="00EE07B5"/>
    <w:rsid w:val="00EE3AC4"/>
    <w:rsid w:val="00EE4ADA"/>
    <w:rsid w:val="00EF6DEB"/>
    <w:rsid w:val="00F0331C"/>
    <w:rsid w:val="00F101AD"/>
    <w:rsid w:val="00F42E4F"/>
    <w:rsid w:val="00F44664"/>
    <w:rsid w:val="00F726AC"/>
    <w:rsid w:val="00F959D7"/>
    <w:rsid w:val="00FB1355"/>
    <w:rsid w:val="00FE0580"/>
    <w:rsid w:val="0149236F"/>
    <w:rsid w:val="01E04B85"/>
    <w:rsid w:val="03643E39"/>
    <w:rsid w:val="048A7892"/>
    <w:rsid w:val="05E77D6D"/>
    <w:rsid w:val="0C222886"/>
    <w:rsid w:val="0CBC44E7"/>
    <w:rsid w:val="0D4C5AE1"/>
    <w:rsid w:val="0F330598"/>
    <w:rsid w:val="16B96626"/>
    <w:rsid w:val="19630424"/>
    <w:rsid w:val="1AE92799"/>
    <w:rsid w:val="1AF9690E"/>
    <w:rsid w:val="1CE427DC"/>
    <w:rsid w:val="1D082A3C"/>
    <w:rsid w:val="1DA33EA1"/>
    <w:rsid w:val="1DF522F6"/>
    <w:rsid w:val="1E3F2A30"/>
    <w:rsid w:val="1E5E4309"/>
    <w:rsid w:val="1ED6412D"/>
    <w:rsid w:val="205A648D"/>
    <w:rsid w:val="21A70A44"/>
    <w:rsid w:val="24571B2A"/>
    <w:rsid w:val="251024B1"/>
    <w:rsid w:val="251E3E7E"/>
    <w:rsid w:val="257E684B"/>
    <w:rsid w:val="25C71077"/>
    <w:rsid w:val="26B926B6"/>
    <w:rsid w:val="279730A8"/>
    <w:rsid w:val="27E6705E"/>
    <w:rsid w:val="2A8E6AAE"/>
    <w:rsid w:val="2B2B3D9F"/>
    <w:rsid w:val="2B6472EC"/>
    <w:rsid w:val="2CA07997"/>
    <w:rsid w:val="30354E4F"/>
    <w:rsid w:val="30E61736"/>
    <w:rsid w:val="31631816"/>
    <w:rsid w:val="31647301"/>
    <w:rsid w:val="32363FA9"/>
    <w:rsid w:val="3369136E"/>
    <w:rsid w:val="346C0830"/>
    <w:rsid w:val="356F718D"/>
    <w:rsid w:val="3631437D"/>
    <w:rsid w:val="365F666B"/>
    <w:rsid w:val="36D74429"/>
    <w:rsid w:val="380B4FD1"/>
    <w:rsid w:val="38174FC3"/>
    <w:rsid w:val="398648EE"/>
    <w:rsid w:val="3AEF5860"/>
    <w:rsid w:val="3C1F5136"/>
    <w:rsid w:val="3EBE4368"/>
    <w:rsid w:val="3FF57DED"/>
    <w:rsid w:val="42E63B69"/>
    <w:rsid w:val="42F048B5"/>
    <w:rsid w:val="43044B56"/>
    <w:rsid w:val="435624DC"/>
    <w:rsid w:val="456604F7"/>
    <w:rsid w:val="4606365A"/>
    <w:rsid w:val="472E5EDC"/>
    <w:rsid w:val="4BD20DA3"/>
    <w:rsid w:val="4C6B6CCE"/>
    <w:rsid w:val="4CD048DD"/>
    <w:rsid w:val="4E524966"/>
    <w:rsid w:val="4F1C1C00"/>
    <w:rsid w:val="50E765AC"/>
    <w:rsid w:val="50EA1410"/>
    <w:rsid w:val="526F674E"/>
    <w:rsid w:val="529241DF"/>
    <w:rsid w:val="58B331EF"/>
    <w:rsid w:val="5904260B"/>
    <w:rsid w:val="59A12735"/>
    <w:rsid w:val="5A4C14B5"/>
    <w:rsid w:val="5B8D65B0"/>
    <w:rsid w:val="5E353AA5"/>
    <w:rsid w:val="5F52126E"/>
    <w:rsid w:val="65C901D6"/>
    <w:rsid w:val="68A31E4F"/>
    <w:rsid w:val="68D70C04"/>
    <w:rsid w:val="69830E14"/>
    <w:rsid w:val="6DA30AEF"/>
    <w:rsid w:val="6DCC0C2A"/>
    <w:rsid w:val="6DE01D2E"/>
    <w:rsid w:val="6E707B94"/>
    <w:rsid w:val="6E754868"/>
    <w:rsid w:val="6FAF64FF"/>
    <w:rsid w:val="6FFF7078"/>
    <w:rsid w:val="707C320C"/>
    <w:rsid w:val="70E253E4"/>
    <w:rsid w:val="71504870"/>
    <w:rsid w:val="717D3F41"/>
    <w:rsid w:val="71817416"/>
    <w:rsid w:val="71BB46D4"/>
    <w:rsid w:val="722354CA"/>
    <w:rsid w:val="72A559D6"/>
    <w:rsid w:val="72CA5419"/>
    <w:rsid w:val="72DB235A"/>
    <w:rsid w:val="735018BD"/>
    <w:rsid w:val="737E2C5E"/>
    <w:rsid w:val="74B7705D"/>
    <w:rsid w:val="76733E62"/>
    <w:rsid w:val="782565D3"/>
    <w:rsid w:val="783A3A8B"/>
    <w:rsid w:val="78791F5B"/>
    <w:rsid w:val="7A517B5E"/>
    <w:rsid w:val="7BC0147D"/>
    <w:rsid w:val="7DBF50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rFonts w:ascii="Calibri" w:hAnsi="Calibri"/>
      <w:kern w:val="0"/>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Title"/>
    <w:basedOn w:val="1"/>
    <w:next w:val="1"/>
    <w:link w:val="16"/>
    <w:qFormat/>
    <w:locked/>
    <w:uiPriority w:val="0"/>
    <w:pPr>
      <w:spacing w:before="240" w:after="60"/>
      <w:jc w:val="center"/>
      <w:outlineLvl w:val="0"/>
    </w:pPr>
    <w:rPr>
      <w:rFonts w:ascii="Cambria" w:hAnsi="Cambria"/>
      <w:b/>
      <w:bCs/>
      <w:sz w:val="32"/>
      <w:szCs w:val="32"/>
    </w:rPr>
  </w:style>
  <w:style w:type="character" w:styleId="8">
    <w:name w:val="Strong"/>
    <w:qFormat/>
    <w:uiPriority w:val="99"/>
    <w:rPr>
      <w:rFonts w:cs="Times New Roman"/>
      <w:b/>
      <w:bCs/>
    </w:rPr>
  </w:style>
  <w:style w:type="character" w:styleId="9">
    <w:name w:val="page number"/>
    <w:basedOn w:val="7"/>
    <w:qFormat/>
    <w:uiPriority w:val="0"/>
  </w:style>
  <w:style w:type="paragraph" w:customStyle="1" w:styleId="10">
    <w:name w:val="列出段落1"/>
    <w:basedOn w:val="1"/>
    <w:qFormat/>
    <w:uiPriority w:val="99"/>
    <w:pPr>
      <w:ind w:firstLine="420" w:firstLineChars="200"/>
    </w:pPr>
  </w:style>
  <w:style w:type="character" w:customStyle="1" w:styleId="11">
    <w:name w:val="页眉 Char"/>
    <w:link w:val="4"/>
    <w:qFormat/>
    <w:uiPriority w:val="0"/>
    <w:rPr>
      <w:sz w:val="18"/>
      <w:szCs w:val="18"/>
    </w:rPr>
  </w:style>
  <w:style w:type="character" w:customStyle="1" w:styleId="12">
    <w:name w:val="页脚 Char"/>
    <w:link w:val="3"/>
    <w:qFormat/>
    <w:uiPriority w:val="0"/>
    <w:rPr>
      <w:sz w:val="18"/>
      <w:szCs w:val="18"/>
    </w:rPr>
  </w:style>
  <w:style w:type="character" w:customStyle="1" w:styleId="13">
    <w:name w:val="页眉 Char1"/>
    <w:semiHidden/>
    <w:qFormat/>
    <w:uiPriority w:val="99"/>
    <w:rPr>
      <w:rFonts w:ascii="Times New Roman" w:hAnsi="Times New Roman"/>
      <w:sz w:val="18"/>
      <w:szCs w:val="18"/>
    </w:rPr>
  </w:style>
  <w:style w:type="character" w:customStyle="1" w:styleId="14">
    <w:name w:val="页脚 Char1"/>
    <w:semiHidden/>
    <w:qFormat/>
    <w:uiPriority w:val="99"/>
    <w:rPr>
      <w:rFonts w:ascii="Times New Roman" w:hAnsi="Times New Roman"/>
      <w:sz w:val="18"/>
      <w:szCs w:val="18"/>
    </w:rPr>
  </w:style>
  <w:style w:type="character" w:customStyle="1" w:styleId="15">
    <w:name w:val="批注框文本 Char"/>
    <w:link w:val="2"/>
    <w:semiHidden/>
    <w:qFormat/>
    <w:uiPriority w:val="0"/>
    <w:rPr>
      <w:rFonts w:ascii="Times New Roman" w:hAnsi="Times New Roman"/>
      <w:sz w:val="18"/>
      <w:szCs w:val="18"/>
    </w:rPr>
  </w:style>
  <w:style w:type="character" w:customStyle="1" w:styleId="16">
    <w:name w:val="标题 Char"/>
    <w:link w:val="5"/>
    <w:qFormat/>
    <w:uiPriority w:val="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31</Pages>
  <Words>2358</Words>
  <Characters>13444</Characters>
  <Lines>112</Lines>
  <Paragraphs>31</Paragraphs>
  <TotalTime>15</TotalTime>
  <ScaleCrop>false</ScaleCrop>
  <LinksUpToDate>false</LinksUpToDate>
  <CharactersWithSpaces>15771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2021-06-16T00:17:00Z</dcterms:created>
  <dc:creator>曾卉</dc:creator>
  <cp:lastModifiedBy>橘生淮南</cp:lastModifiedBy>
  <cp:lastPrinted>2019-07-25T09:57:00Z</cp:lastPrinted>
  <dcterms:modified xsi:type="dcterms:W3CDTF">2023-11-21T08:42:03Z</dcterms:modified>
  <dc:title>柳州市财政局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39292AE7391648A184B37D1D3B3EC996_12</vt:lpwstr>
  </property>
</Properties>
</file>