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Style w:val="7"/>
          <w:rFonts w:ascii="方正小标宋简体" w:hAnsi="华文仿宋" w:eastAsia="方正小标宋简体"/>
          <w:b w:val="0"/>
          <w:i w:val="0"/>
          <w:caps w:val="0"/>
          <w:spacing w:val="0"/>
          <w:w w:val="100"/>
          <w:kern w:val="2"/>
          <w:sz w:val="44"/>
          <w:szCs w:val="44"/>
          <w:lang w:val="en-US" w:eastAsia="zh-CN" w:bidi="ar-SA"/>
        </w:rPr>
      </w:pPr>
      <w:bookmarkStart w:id="0" w:name="_GoBack"/>
      <w:bookmarkEnd w:id="0"/>
      <w:r>
        <w:rPr>
          <w:rStyle w:val="7"/>
          <w:rFonts w:ascii="方正小标宋简体" w:hAnsi="华文仿宋" w:eastAsia="方正小标宋简体"/>
          <w:b w:val="0"/>
          <w:i w:val="0"/>
          <w:caps w:val="0"/>
          <w:spacing w:val="0"/>
          <w:w w:val="100"/>
          <w:kern w:val="2"/>
          <w:sz w:val="44"/>
          <w:szCs w:val="44"/>
          <w:lang w:val="en-US" w:eastAsia="zh-CN" w:bidi="ar-SA"/>
        </w:rPr>
        <w:t>柳州科技馆2021年预算公开说明</w:t>
      </w:r>
    </w:p>
    <w:p>
      <w:pPr>
        <w:snapToGrid/>
        <w:spacing w:before="0" w:beforeAutospacing="0" w:after="0" w:afterAutospacing="0" w:line="560" w:lineRule="exact"/>
        <w:jc w:val="both"/>
        <w:textAlignment w:val="baseline"/>
        <w:rPr>
          <w:rStyle w:val="7"/>
          <w:rFonts w:ascii="方正小标宋简体" w:hAnsi="华文仿宋" w:eastAsia="方正小标宋简体"/>
          <w:b w:val="0"/>
          <w:i w:val="0"/>
          <w:caps w:val="0"/>
          <w:spacing w:val="0"/>
          <w:w w:val="100"/>
          <w:kern w:val="2"/>
          <w:sz w:val="44"/>
          <w:szCs w:val="44"/>
          <w:lang w:val="en-US" w:eastAsia="zh-CN" w:bidi="ar-SA"/>
        </w:rPr>
      </w:pPr>
    </w:p>
    <w:p>
      <w:pPr>
        <w:snapToGrid/>
        <w:spacing w:before="0" w:beforeAutospacing="0" w:after="0" w:afterAutospacing="0" w:line="560" w:lineRule="exact"/>
        <w:jc w:val="center"/>
        <w:textAlignment w:val="baseline"/>
        <w:rPr>
          <w:rStyle w:val="6"/>
          <w:rFonts w:ascii="方正小标宋简体" w:hAnsi="华文仿宋" w:eastAsia="方正小标宋简体"/>
          <w:b/>
          <w:bCs w:val="0"/>
          <w:i w:val="0"/>
          <w:caps w:val="0"/>
          <w:spacing w:val="0"/>
          <w:w w:val="100"/>
          <w:kern w:val="2"/>
          <w:sz w:val="44"/>
          <w:szCs w:val="44"/>
          <w:lang w:val="en-US" w:eastAsia="zh-CN" w:bidi="ar-SA"/>
        </w:rPr>
      </w:pPr>
      <w:r>
        <w:rPr>
          <w:rStyle w:val="6"/>
          <w:rFonts w:ascii="方正小标宋简体" w:hAnsi="华文仿宋" w:eastAsia="方正小标宋简体"/>
          <w:b/>
          <w:bCs w:val="0"/>
          <w:i w:val="0"/>
          <w:caps w:val="0"/>
          <w:spacing w:val="0"/>
          <w:w w:val="100"/>
          <w:kern w:val="2"/>
          <w:sz w:val="44"/>
          <w:szCs w:val="44"/>
          <w:lang w:val="en-US" w:eastAsia="zh-CN" w:bidi="ar-SA"/>
        </w:rPr>
        <w:t>目 录</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第一部分：柳州科技馆概况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一、主要职责</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二、机构设置情况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第二部分：柳州科技馆2021年预算报表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一、单位收支总体情况表（预算公开01表）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二、单位收入总体情况表（预算公开02表）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三、单位支出总体情况表（预算公开03表）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四、财政拨款收支总体情况表（预算公开04表）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五、一般公共预算支出情况表（预算公开05表）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六、一般公共预算基本支出情况表（预算公开06表）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七、一般公共预算“三公”经费支出情况表（预算公开07表）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八、政府性基金预算支出情况表（预算公开08表）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九、国有资本经营预算支出情况表（预算公开09表）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十、政府采购预算表（预算公开10表）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十一、政府购买服务预算表（预算公开11表）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第三部分：柳州科技馆2021年预算情况说明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第四部分：名词解释</w:t>
      </w:r>
    </w:p>
    <w:p>
      <w:pPr>
        <w:snapToGrid/>
        <w:spacing w:before="0" w:beforeAutospacing="0" w:after="0" w:afterAutospacing="0" w:line="560" w:lineRule="exact"/>
        <w:jc w:val="both"/>
        <w:textAlignment w:val="baseline"/>
        <w:rPr>
          <w:rStyle w:val="6"/>
          <w:rFonts w:ascii="仿宋_GB2312" w:hAnsi="华文仿宋" w:eastAsia="仿宋_GB2312" w:cs="宋体"/>
          <w:b/>
          <w:bCs/>
          <w:i w:val="0"/>
          <w:caps w:val="0"/>
          <w:color w:val="000000"/>
          <w:spacing w:val="0"/>
          <w:w w:val="100"/>
          <w:kern w:val="0"/>
          <w:sz w:val="32"/>
          <w:szCs w:val="32"/>
          <w:lang w:val="en-US" w:eastAsia="zh-CN" w:bidi="ar-SA"/>
        </w:rPr>
      </w:pPr>
    </w:p>
    <w:p>
      <w:pPr>
        <w:snapToGrid w:val="0"/>
        <w:spacing w:before="0" w:beforeAutospacing="0" w:after="0" w:afterAutospacing="0" w:line="560" w:lineRule="exact"/>
        <w:ind w:right="-218"/>
        <w:jc w:val="center"/>
        <w:textAlignment w:val="baseline"/>
        <w:rPr>
          <w:rStyle w:val="6"/>
          <w:rFonts w:ascii="仿宋_GB2312" w:hAnsi="华文仿宋" w:eastAsia="仿宋_GB2312" w:cs="Times New Roman"/>
          <w:b/>
          <w:bCs/>
          <w:i w:val="0"/>
          <w:caps w:val="0"/>
          <w:color w:val="000000"/>
          <w:spacing w:val="0"/>
          <w:w w:val="100"/>
          <w:kern w:val="2"/>
          <w:sz w:val="32"/>
          <w:szCs w:val="32"/>
          <w:highlight w:val="yellow"/>
          <w:lang w:val="en-US" w:eastAsia="zh-CN" w:bidi="ar-SA"/>
        </w:rPr>
      </w:pPr>
    </w:p>
    <w:p>
      <w:pPr>
        <w:snapToGrid w:val="0"/>
        <w:spacing w:before="0" w:beforeAutospacing="0" w:after="0" w:afterAutospacing="0" w:line="560" w:lineRule="exact"/>
        <w:ind w:right="-218"/>
        <w:jc w:val="center"/>
        <w:textAlignment w:val="baseline"/>
        <w:rPr>
          <w:rStyle w:val="6"/>
          <w:rFonts w:ascii="仿宋_GB2312" w:hAnsi="华文仿宋" w:eastAsia="仿宋_GB2312" w:cs="Times New Roman"/>
          <w:b/>
          <w:bCs/>
          <w:i w:val="0"/>
          <w:caps w:val="0"/>
          <w:color w:val="000000"/>
          <w:spacing w:val="0"/>
          <w:w w:val="100"/>
          <w:kern w:val="2"/>
          <w:sz w:val="32"/>
          <w:szCs w:val="32"/>
          <w:highlight w:val="yellow"/>
          <w:lang w:val="en-US" w:eastAsia="zh-CN" w:bidi="ar-SA"/>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第一部分：柳州科技馆概况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一、主要职责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楷体_GB2312" w:hAnsi="华文仿宋" w:eastAsia="楷体_GB2312"/>
          <w:b w:val="0"/>
          <w:i w:val="0"/>
          <w:caps w:val="0"/>
          <w:color w:val="000000"/>
          <w:spacing w:val="0"/>
          <w:w w:val="100"/>
          <w:kern w:val="0"/>
          <w:sz w:val="32"/>
          <w:szCs w:val="32"/>
          <w:lang w:val="en-US" w:eastAsia="zh-CN" w:bidi="ar-SA"/>
        </w:rPr>
      </w:pPr>
      <w:r>
        <w:rPr>
          <w:rStyle w:val="7"/>
          <w:rFonts w:ascii="楷体_GB2312" w:hAnsi="华文仿宋" w:eastAsia="楷体_GB2312"/>
          <w:b w:val="0"/>
          <w:i w:val="0"/>
          <w:caps w:val="0"/>
          <w:color w:val="000000"/>
          <w:spacing w:val="0"/>
          <w:w w:val="100"/>
          <w:kern w:val="0"/>
          <w:sz w:val="32"/>
          <w:szCs w:val="32"/>
          <w:lang w:val="en-US" w:eastAsia="zh-CN" w:bidi="ar-SA"/>
        </w:rPr>
        <w:t>（一）展示科技成果,促进经济发展。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楷体_GB2312" w:hAnsi="华文仿宋" w:eastAsia="楷体_GB2312"/>
          <w:b w:val="0"/>
          <w:i w:val="0"/>
          <w:caps w:val="0"/>
          <w:color w:val="000000"/>
          <w:spacing w:val="0"/>
          <w:w w:val="100"/>
          <w:kern w:val="0"/>
          <w:sz w:val="32"/>
          <w:szCs w:val="32"/>
          <w:lang w:val="en-US" w:eastAsia="zh-CN" w:bidi="ar-SA"/>
        </w:rPr>
      </w:pPr>
      <w:r>
        <w:rPr>
          <w:rStyle w:val="7"/>
          <w:rFonts w:ascii="楷体_GB2312" w:hAnsi="华文仿宋" w:eastAsia="楷体_GB2312"/>
          <w:b w:val="0"/>
          <w:i w:val="0"/>
          <w:caps w:val="0"/>
          <w:color w:val="000000"/>
          <w:spacing w:val="0"/>
          <w:w w:val="100"/>
          <w:kern w:val="0"/>
          <w:sz w:val="32"/>
          <w:szCs w:val="32"/>
          <w:lang w:val="en-US" w:eastAsia="zh-CN" w:bidi="ar-SA"/>
        </w:rPr>
        <w:t>（二）科技展览。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楷体_GB2312" w:hAnsi="华文仿宋" w:eastAsia="楷体_GB2312"/>
          <w:b w:val="0"/>
          <w:i w:val="0"/>
          <w:caps w:val="0"/>
          <w:color w:val="000000"/>
          <w:spacing w:val="0"/>
          <w:w w:val="100"/>
          <w:kern w:val="0"/>
          <w:sz w:val="32"/>
          <w:szCs w:val="32"/>
          <w:lang w:val="en-US" w:eastAsia="zh-CN" w:bidi="ar-SA"/>
        </w:rPr>
      </w:pPr>
      <w:r>
        <w:rPr>
          <w:rStyle w:val="7"/>
          <w:rFonts w:ascii="楷体_GB2312" w:hAnsi="华文仿宋" w:eastAsia="楷体_GB2312"/>
          <w:b w:val="0"/>
          <w:i w:val="0"/>
          <w:caps w:val="0"/>
          <w:color w:val="000000"/>
          <w:spacing w:val="0"/>
          <w:w w:val="100"/>
          <w:kern w:val="0"/>
          <w:sz w:val="32"/>
          <w:szCs w:val="32"/>
          <w:lang w:val="en-US" w:eastAsia="zh-CN" w:bidi="ar-SA"/>
        </w:rPr>
        <w:t>（三）当代科技成就展览、古代及近现代科技文明陈列展示。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楷体_GB2312" w:hAnsi="华文仿宋" w:eastAsia="楷体_GB2312"/>
          <w:b w:val="0"/>
          <w:i w:val="0"/>
          <w:caps w:val="0"/>
          <w:color w:val="000000"/>
          <w:spacing w:val="0"/>
          <w:w w:val="100"/>
          <w:kern w:val="0"/>
          <w:sz w:val="32"/>
          <w:szCs w:val="32"/>
          <w:lang w:val="en-US" w:eastAsia="zh-CN" w:bidi="ar-SA"/>
        </w:rPr>
      </w:pPr>
      <w:r>
        <w:rPr>
          <w:rStyle w:val="7"/>
          <w:rFonts w:ascii="楷体_GB2312" w:hAnsi="华文仿宋" w:eastAsia="楷体_GB2312"/>
          <w:b w:val="0"/>
          <w:i w:val="0"/>
          <w:caps w:val="0"/>
          <w:color w:val="000000"/>
          <w:spacing w:val="0"/>
          <w:w w:val="100"/>
          <w:kern w:val="0"/>
          <w:sz w:val="32"/>
          <w:szCs w:val="32"/>
          <w:lang w:val="en-US" w:eastAsia="zh-CN" w:bidi="ar-SA"/>
        </w:rPr>
        <w:t>（四）科普宣传教育。</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楷体_GB2312" w:hAnsi="华文仿宋" w:eastAsia="楷体_GB2312"/>
          <w:b w:val="0"/>
          <w:i w:val="0"/>
          <w:caps w:val="0"/>
          <w:color w:val="000000"/>
          <w:spacing w:val="0"/>
          <w:w w:val="100"/>
          <w:kern w:val="0"/>
          <w:sz w:val="32"/>
          <w:szCs w:val="32"/>
          <w:lang w:val="en-US" w:eastAsia="zh-CN" w:bidi="ar-SA"/>
        </w:rPr>
      </w:pPr>
      <w:r>
        <w:rPr>
          <w:rStyle w:val="7"/>
          <w:rFonts w:ascii="楷体_GB2312" w:hAnsi="华文仿宋" w:eastAsia="楷体_GB2312"/>
          <w:b w:val="0"/>
          <w:i w:val="0"/>
          <w:caps w:val="0"/>
          <w:color w:val="000000"/>
          <w:spacing w:val="0"/>
          <w:w w:val="100"/>
          <w:kern w:val="0"/>
          <w:sz w:val="32"/>
          <w:szCs w:val="32"/>
          <w:lang w:val="en-US" w:eastAsia="zh-CN" w:bidi="ar-SA"/>
        </w:rPr>
        <w:t>（五）技能培训。</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二、机构设置情况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color w:val="000000"/>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柳州科技馆为柳州市科学技术协会下属的公益一类全额拨款事业单位。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color w:val="000000"/>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柳州科技馆内设7个部（室）：办公室、财务部、信息部、后勤保障部、展教部、青少部、展品技术部。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color w:val="000000"/>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 xml:space="preserve">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bCs/>
          <w:i w:val="0"/>
          <w:caps w:val="0"/>
          <w:color w:val="000000"/>
          <w:spacing w:val="0"/>
          <w:w w:val="100"/>
          <w:kern w:val="0"/>
          <w:sz w:val="32"/>
          <w:szCs w:val="32"/>
          <w:lang w:val="en-US" w:eastAsia="zh-CN" w:bidi="ar-SA"/>
        </w:rPr>
        <w:t>第二部分：柳州科技馆2021年预算报表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一、单位收支总体情况表（预算公开01表）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二、单位收入总体情况表（预算公开02表）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三、单位支出总体情况表（预算公开03表）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四、财政拨款收支总体情况表（预算公开04表）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五、一般公共预算支出情况表（预算公开05表）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六、一般公共预算基本支出情况表（预算公开06表）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七、一般公共预算“三公”经费支出情况表（预算公开07表）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八、政府性基金预算支出情况表（预算公开08表）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九、国有资本经营预算支出情况表（预算公开09表）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十、政府采购预算表（预算公开10表）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十一、政府购买服务预算表（预算公开11表）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spacing w:val="0"/>
          <w:w w:val="100"/>
          <w:kern w:val="0"/>
          <w:sz w:val="32"/>
          <w:szCs w:val="32"/>
          <w:lang w:val="en-US" w:eastAsia="zh-CN" w:bidi="ar-SA"/>
        </w:rPr>
        <w:t>上述报表详见附件。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7"/>
          <w:rFonts w:ascii="仿宋_GB2312" w:hAnsi="华文仿宋" w:eastAsia="仿宋_GB2312" w:cs="Times New Roman"/>
          <w:b/>
          <w:bCs/>
          <w:i w:val="0"/>
          <w:caps w:val="0"/>
          <w:color w:val="000000"/>
          <w:spacing w:val="0"/>
          <w:w w:val="100"/>
          <w:kern w:val="2"/>
          <w:sz w:val="32"/>
          <w:szCs w:val="32"/>
          <w:lang w:val="en-US" w:eastAsia="zh-CN" w:bidi="ar-SA"/>
        </w:rPr>
      </w:pPr>
      <w:r>
        <w:rPr>
          <w:rStyle w:val="7"/>
          <w:rFonts w:ascii="仿宋_GB2312" w:hAnsi="华文仿宋" w:eastAsia="仿宋_GB2312" w:cs="Times New Roman"/>
          <w:b/>
          <w:bCs/>
          <w:i w:val="0"/>
          <w:caps w:val="0"/>
          <w:color w:val="000000"/>
          <w:spacing w:val="0"/>
          <w:w w:val="100"/>
          <w:kern w:val="2"/>
          <w:sz w:val="32"/>
          <w:szCs w:val="32"/>
          <w:lang w:val="en-US" w:eastAsia="zh-CN" w:bidi="ar-SA"/>
        </w:rPr>
        <w:t>第三部分：柳州科技馆2021年预算情况说明</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一、单位收支预算情况说明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theme="minorBidi"/>
          <w:b w:val="0"/>
          <w:i w:val="0"/>
          <w:caps w:val="0"/>
          <w:spacing w:val="0"/>
          <w:w w:val="100"/>
          <w:kern w:val="2"/>
          <w:sz w:val="32"/>
          <w:szCs w:val="32"/>
          <w:lang w:val="en-US" w:eastAsia="zh-CN" w:bidi="ar-SA"/>
        </w:rPr>
      </w:pPr>
      <w:r>
        <w:rPr>
          <w:rStyle w:val="7"/>
          <w:rFonts w:ascii="仿宋_GB2312" w:hAnsi="华文仿宋" w:eastAsia="仿宋_GB2312" w:cstheme="minorBidi"/>
          <w:b w:val="0"/>
          <w:i w:val="0"/>
          <w:caps w:val="0"/>
          <w:spacing w:val="0"/>
          <w:w w:val="100"/>
          <w:kern w:val="2"/>
          <w:sz w:val="32"/>
          <w:szCs w:val="32"/>
          <w:lang w:val="en-US" w:eastAsia="zh-CN" w:bidi="ar-SA"/>
        </w:rPr>
        <w:t>2021年单位收支总预算1511.90万元，同比增加1213.76万元，同比增长407.11%，收入包括：一般公共财政预算拨款；支出包括：科学技术支出、社会保障和就业支出、卫生健康支出、住房保障支出。</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二、单位收入预算情况说明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2021年单位收入总预算1511.90万元，</w:t>
      </w:r>
      <w:r>
        <w:rPr>
          <w:rStyle w:val="7"/>
          <w:rFonts w:ascii="仿宋_GB2312" w:hAnsi="华文仿宋" w:eastAsia="仿宋_GB2312"/>
          <w:b w:val="0"/>
          <w:i w:val="0"/>
          <w:caps w:val="0"/>
          <w:spacing w:val="0"/>
          <w:w w:val="100"/>
          <w:kern w:val="2"/>
          <w:sz w:val="32"/>
          <w:szCs w:val="32"/>
          <w:lang w:val="en-US" w:eastAsia="zh-CN" w:bidi="ar-SA"/>
        </w:rPr>
        <w:t>同比增加1213.76万元，同比增长407.11%。其中：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一般公共财政预算拨款1511.90万元，</w:t>
      </w:r>
      <w:r>
        <w:rPr>
          <w:rStyle w:val="7"/>
          <w:rFonts w:ascii="仿宋_GB2312" w:hAnsi="华文仿宋" w:eastAsia="仿宋_GB2312"/>
          <w:b w:val="0"/>
          <w:i w:val="0"/>
          <w:caps w:val="0"/>
          <w:spacing w:val="0"/>
          <w:w w:val="100"/>
          <w:kern w:val="2"/>
          <w:sz w:val="32"/>
          <w:szCs w:val="32"/>
          <w:lang w:val="en-US" w:eastAsia="zh-CN" w:bidi="ar-SA"/>
        </w:rPr>
        <w:t>占收入总预算100%,同比增加1213.67万元，同比增长407.11%。</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2021年收入预算总体增加主要是</w:t>
      </w:r>
      <w:r>
        <w:rPr>
          <w:rStyle w:val="7"/>
          <w:rFonts w:ascii="仿宋_GB2312" w:hAnsi="华文仿宋" w:eastAsia="仿宋_GB2312"/>
          <w:b w:val="0"/>
          <w:i w:val="0"/>
          <w:caps w:val="0"/>
          <w:color w:val="000000"/>
          <w:spacing w:val="0"/>
          <w:w w:val="100"/>
          <w:kern w:val="2"/>
          <w:sz w:val="32"/>
          <w:szCs w:val="32"/>
          <w:lang w:val="en-US" w:eastAsia="zh-CN" w:bidi="ar-SA"/>
        </w:rPr>
        <w:t>一般公共财政预算拨款</w:t>
      </w:r>
      <w:r>
        <w:rPr>
          <w:rStyle w:val="7"/>
          <w:rFonts w:ascii="仿宋_GB2312" w:hAnsi="华文仿宋" w:eastAsia="仿宋_GB2312"/>
          <w:b w:val="0"/>
          <w:i w:val="0"/>
          <w:caps w:val="0"/>
          <w:spacing w:val="0"/>
          <w:w w:val="100"/>
          <w:kern w:val="2"/>
          <w:sz w:val="32"/>
          <w:szCs w:val="32"/>
          <w:lang w:val="en-US" w:eastAsia="zh-CN" w:bidi="ar-SA"/>
        </w:rPr>
        <w:t>增加，增加的主要原因：科技馆新馆成立，规模扩大，相应的物业费、水费、电费及人员经费增加。</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三、单位支出预算情况说明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trike/>
          <w:spacing w:val="0"/>
          <w:w w:val="100"/>
          <w:kern w:val="2"/>
          <w:sz w:val="32"/>
          <w:szCs w:val="32"/>
          <w:lang w:val="en-US" w:eastAsia="zh-CN" w:bidi="ar-SA"/>
        </w:rPr>
      </w:pPr>
      <w:r>
        <w:rPr>
          <w:rStyle w:val="7"/>
          <w:rFonts w:ascii="仿宋_GB2312" w:hAnsi="华文仿宋" w:eastAsia="仿宋_GB2312"/>
          <w:b w:val="0"/>
          <w:i w:val="0"/>
          <w:caps w:val="0"/>
          <w:color w:val="000000"/>
          <w:spacing w:val="0"/>
          <w:w w:val="100"/>
          <w:kern w:val="2"/>
          <w:sz w:val="32"/>
          <w:szCs w:val="32"/>
          <w:lang w:val="en-US" w:eastAsia="zh-CN" w:bidi="ar-SA"/>
        </w:rPr>
        <w:t>2021年单位支出总预算1511.90万元，基本支出预算205.50万元，占支出总预算的13.59%,</w:t>
      </w:r>
      <w:r>
        <w:rPr>
          <w:rStyle w:val="7"/>
          <w:rFonts w:ascii="仿宋_GB2312" w:hAnsi="华文仿宋" w:eastAsia="仿宋_GB2312"/>
          <w:b w:val="0"/>
          <w:i w:val="0"/>
          <w:caps w:val="0"/>
          <w:spacing w:val="0"/>
          <w:w w:val="100"/>
          <w:kern w:val="2"/>
          <w:sz w:val="32"/>
          <w:szCs w:val="32"/>
          <w:lang w:val="en-US" w:eastAsia="zh-CN" w:bidi="ar-SA"/>
        </w:rPr>
        <w:t>同比增加21.49万元，同比增长11.68%。项目支出预算1306.40万元，占支出总预算的86.41%,同比增加1192.27万元，同比增长1044.66%。</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 xml:space="preserve">按支出功能分类科目划分，共分为四类，其中：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1.科学文化技术支出1454.97万元，占支出总预算96.23%，同比增加1207.14万元，同比增长487.08%。</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2.社会保障和就业支出32.17万元，占支出总预算2.13%，同比增加3.45万元，同比增长12.01%。</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3.卫生健康支出9.81万元，占支出总预算0.65%，同比增加1.45万元，同比增长17.34%。</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4.住房保障支出14.95万元，占支出总预算0.99%，同比增加1.72万元，同比增长13%。</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按支出结构分类划分，分为基本支出预算和项目支出预算。</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1.基本支出预算205.50万元，占一般公共预算拨款支出预算13.59%，同比增加21.49万元，同比增长11.68%。</w:t>
      </w:r>
    </w:p>
    <w:p>
      <w:pPr>
        <w:pStyle w:val="12"/>
        <w:keepNext w:val="0"/>
        <w:keepLines w:val="0"/>
        <w:pageBreakBefore w:val="0"/>
        <w:widowControl/>
        <w:tabs>
          <w:tab w:val="center" w:pos="4475"/>
        </w:tabs>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2.项目支出预算1306.40万元；占支出总预算86.41%，同比增加1192.27万元，同比增长1044.66%。</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highlight w:val="cyan"/>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2021年支出预算总体增加主要是项目支出增加，增加的主要原因：科技馆新馆成立，规模扩大，相应的物业费、水费、电费及人员经费增加。</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四、财政拨款收支预算情况说明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trike/>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2021年单位财政拨款收支总预算1511.90万元， 收入包括</w:t>
      </w:r>
      <w:r>
        <w:rPr>
          <w:rStyle w:val="7"/>
          <w:rFonts w:ascii="仿宋_GB2312" w:hAnsi="华文仿宋" w:eastAsia="仿宋_GB2312"/>
          <w:b w:val="0"/>
          <w:i w:val="0"/>
          <w:caps w:val="0"/>
          <w:color w:val="000000"/>
          <w:spacing w:val="0"/>
          <w:w w:val="100"/>
          <w:kern w:val="0"/>
          <w:sz w:val="32"/>
          <w:szCs w:val="32"/>
          <w:lang w:val="en-US" w:eastAsia="zh-CN" w:bidi="ar-SA"/>
        </w:rPr>
        <w:t>一般公共财政预算拨款1511.90</w:t>
      </w:r>
      <w:r>
        <w:rPr>
          <w:rStyle w:val="7"/>
          <w:rFonts w:ascii="仿宋_GB2312" w:hAnsi="华文仿宋" w:eastAsia="仿宋_GB2312"/>
          <w:b w:val="0"/>
          <w:i w:val="0"/>
          <w:caps w:val="0"/>
          <w:spacing w:val="0"/>
          <w:w w:val="100"/>
          <w:kern w:val="2"/>
          <w:sz w:val="32"/>
          <w:szCs w:val="32"/>
          <w:lang w:val="en-US" w:eastAsia="zh-CN" w:bidi="ar-SA"/>
        </w:rPr>
        <w:t>万元;支出包括：科学技术支出1454.97万元，社会保障和就业支出32.17万元，卫生健康支出9.81万元，住房保障支出14.95万元。</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五、一般公共预算支出情况说明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2021年单位一般公共预算拨款支出1511.90万元，其中：基本支出205.50万元，项目支出1306.40万元，具体支出预算如下：</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一）科技馆站1454.97万元，其中：基本支出预算148.57万元，项目支出预算1306.40万元。主要用于展厅维护费、展品维修、科技馆活动进基层、物业管理费、校外活动中心专项运营费、展厅建设费、编外聘用工作人员经费</w:t>
      </w:r>
      <w:r>
        <w:rPr>
          <w:rStyle w:val="7"/>
          <w:rFonts w:ascii="仿宋_GB2312" w:hAnsi="华文仿宋" w:eastAsia="仿宋_GB2312"/>
          <w:b w:val="0"/>
          <w:i w:val="0"/>
          <w:caps w:val="0"/>
          <w:spacing w:val="0"/>
          <w:w w:val="100"/>
          <w:kern w:val="0"/>
          <w:sz w:val="32"/>
          <w:szCs w:val="32"/>
          <w:lang w:val="en-US" w:eastAsia="zh-CN" w:bidi="ar-SA"/>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（二）事业单位离退休2.26万元，全部为基本支出。主要用于支付退休人员的生活补助、物业补贴、计生补贴及公用经费。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（三）机关事业单位基本养老保险缴费支出19.94万元，全部为基本支出。主要用于在职人员的基本养老保险缴费。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（四）机关事业单位职业年金缴费支出9.97万元，全部为基本支出。主要用于在职人员的职业年金缴费。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（五）事业单位医疗9.81万元，全部为基本支出。主要用于在职人员医疗保险缴费。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（六）住房公积金14.95万元，全部为基本支出。主要用于缴纳在职人员的住房公积金。</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六、一般公共预算基本支出情况说明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2021年单位一般公共预算基本支出205.50万元，其中：</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（一）人员经费185.71万元，主要包括：基本工资、津贴补贴、绩效工资、机关事业单位基本养老保险缴费、职业年金缴费、职工基本医疗保险缴费、其他社会保障缴费、住房公积金、退休费。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7"/>
          <w:rFonts w:ascii="仿宋_GB2312" w:hAnsi="华文仿宋" w:eastAsia="仿宋_GB2312"/>
          <w:b w:val="0"/>
          <w:i w:val="0"/>
          <w:caps w:val="0"/>
          <w:spacing w:val="0"/>
          <w:w w:val="100"/>
          <w:kern w:val="0"/>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（二）公用经费</w:t>
      </w:r>
      <w:r>
        <w:rPr>
          <w:rStyle w:val="7"/>
          <w:rFonts w:ascii="仿宋_GB2312" w:hAnsi="华文仿宋" w:eastAsia="仿宋_GB2312"/>
          <w:b w:val="0"/>
          <w:i w:val="0"/>
          <w:caps w:val="0"/>
          <w:spacing w:val="0"/>
          <w:w w:val="100"/>
          <w:kern w:val="0"/>
          <w:sz w:val="32"/>
          <w:szCs w:val="32"/>
          <w:lang w:val="en-US" w:eastAsia="zh-CN" w:bidi="ar-SA"/>
        </w:rPr>
        <w:t>19.79</w:t>
      </w:r>
      <w:r>
        <w:rPr>
          <w:rStyle w:val="7"/>
          <w:rFonts w:ascii="仿宋_GB2312" w:hAnsi="华文仿宋" w:eastAsia="仿宋_GB2312"/>
          <w:b w:val="0"/>
          <w:i w:val="0"/>
          <w:caps w:val="0"/>
          <w:spacing w:val="0"/>
          <w:w w:val="100"/>
          <w:kern w:val="2"/>
          <w:sz w:val="32"/>
          <w:szCs w:val="32"/>
          <w:lang w:val="en-US" w:eastAsia="zh-CN" w:bidi="ar-SA"/>
        </w:rPr>
        <w:t>万元，主要包括：</w:t>
      </w:r>
      <w:r>
        <w:rPr>
          <w:rStyle w:val="7"/>
          <w:rFonts w:ascii="仿宋_GB2312" w:hAnsi="华文仿宋" w:eastAsia="仿宋_GB2312"/>
          <w:b w:val="0"/>
          <w:i w:val="0"/>
          <w:caps w:val="0"/>
          <w:spacing w:val="0"/>
          <w:w w:val="100"/>
          <w:kern w:val="0"/>
          <w:sz w:val="32"/>
          <w:szCs w:val="32"/>
          <w:lang w:val="en-US" w:eastAsia="zh-CN" w:bidi="ar-SA"/>
        </w:rPr>
        <w:t>办公费、印刷费、水费、电费、邮电费、物业管理费、差旅费、维修(护)费、会议费、培训费、公务接待费、工会经费、其他商品和服务支出</w:t>
      </w:r>
      <w:r>
        <w:rPr>
          <w:rStyle w:val="7"/>
          <w:rFonts w:ascii="仿宋_GB2312" w:hAnsi="华文仿宋" w:eastAsia="仿宋_GB2312"/>
          <w:b w:val="0"/>
          <w:i w:val="0"/>
          <w:caps w:val="0"/>
          <w:spacing w:val="0"/>
          <w:w w:val="100"/>
          <w:kern w:val="2"/>
          <w:sz w:val="32"/>
          <w:szCs w:val="32"/>
          <w:lang w:val="en-US" w:eastAsia="zh-CN" w:bidi="ar-SA"/>
        </w:rPr>
        <w:t>。</w:t>
      </w:r>
    </w:p>
    <w:p>
      <w:pPr>
        <w:keepNext w:val="0"/>
        <w:keepLines w:val="0"/>
        <w:pageBreakBefore w:val="0"/>
        <w:widowControl/>
        <w:tabs>
          <w:tab w:val="center" w:pos="4475"/>
        </w:tabs>
        <w:kinsoku/>
        <w:wordWrap/>
        <w:overflowPunct/>
        <w:topLinePunct w:val="0"/>
        <w:autoSpaceDE/>
        <w:autoSpaceDN/>
        <w:bidi w:val="0"/>
        <w:adjustRightInd/>
        <w:snapToGrid w:val="0"/>
        <w:spacing w:beforeAutospacing="0" w:afterAutospacing="0" w:line="560" w:lineRule="exact"/>
        <w:ind w:right="-218"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七、一般公共预算“三公”经费情况说明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2021年一般公共预算安排的“三公”经费支出预算0.42万元，同比2020 年预算0.42万元持平。其中：</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（一）</w:t>
      </w:r>
      <w:r>
        <w:rPr>
          <w:rStyle w:val="7"/>
          <w:rFonts w:ascii="仿宋_GB2312" w:hAnsi="华文仿宋" w:eastAsia="仿宋_GB2312" w:cs="宋体"/>
          <w:b w:val="0"/>
          <w:bCs/>
          <w:i w:val="0"/>
          <w:caps w:val="0"/>
          <w:color w:val="000000"/>
          <w:spacing w:val="0"/>
          <w:w w:val="100"/>
          <w:kern w:val="0"/>
          <w:sz w:val="32"/>
          <w:szCs w:val="32"/>
          <w:lang w:val="en-US" w:eastAsia="zh-CN" w:bidi="ar-SA"/>
        </w:rPr>
        <w:t>因公出国（境）经费2021年预算0万元，同比上年持平。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（二）</w:t>
      </w:r>
      <w:r>
        <w:rPr>
          <w:rStyle w:val="7"/>
          <w:rFonts w:ascii="仿宋_GB2312" w:hAnsi="华文仿宋" w:eastAsia="仿宋_GB2312" w:cs="宋体"/>
          <w:b w:val="0"/>
          <w:bCs/>
          <w:i w:val="0"/>
          <w:caps w:val="0"/>
          <w:color w:val="000000"/>
          <w:spacing w:val="0"/>
          <w:w w:val="100"/>
          <w:kern w:val="0"/>
          <w:sz w:val="32"/>
          <w:szCs w:val="32"/>
          <w:lang w:val="en-US" w:eastAsia="zh-CN" w:bidi="ar-SA"/>
        </w:rPr>
        <w:t xml:space="preserve">公务接待费2021年预算0.42万元，同比上年持平，主要用于公务接待。                                           </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spacing w:val="0"/>
          <w:w w:val="100"/>
          <w:kern w:val="0"/>
          <w:sz w:val="32"/>
          <w:szCs w:val="32"/>
          <w:lang w:val="en-US" w:eastAsia="zh-CN" w:bidi="ar-SA"/>
        </w:rPr>
        <w:t>（三）</w:t>
      </w:r>
      <w:r>
        <w:rPr>
          <w:rStyle w:val="7"/>
          <w:rFonts w:ascii="仿宋_GB2312" w:hAnsi="华文仿宋" w:eastAsia="仿宋_GB2312" w:cs="宋体"/>
          <w:b w:val="0"/>
          <w:bCs/>
          <w:i w:val="0"/>
          <w:caps w:val="0"/>
          <w:color w:val="000000"/>
          <w:spacing w:val="0"/>
          <w:w w:val="100"/>
          <w:kern w:val="0"/>
          <w:sz w:val="32"/>
          <w:szCs w:val="32"/>
          <w:lang w:val="en-US" w:eastAsia="zh-CN" w:bidi="ar-SA"/>
        </w:rPr>
        <w:t>公务用车购置及运行维护费2021年预算0万元，同比上年持平：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1.公务用车购置费2021年预算0万元，同比上年持平。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2.公务用车运行维护费2021年预算0万元，同比上年持平。</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八、政府性基金预算情况说明</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theme="minorBidi"/>
          <w:b w:val="0"/>
          <w:i w:val="0"/>
          <w:caps w:val="0"/>
          <w:spacing w:val="0"/>
          <w:w w:val="100"/>
          <w:kern w:val="2"/>
          <w:sz w:val="32"/>
          <w:szCs w:val="32"/>
          <w:lang w:val="en-US" w:eastAsia="zh-CN" w:bidi="ar-SA"/>
        </w:rPr>
      </w:pPr>
      <w:r>
        <w:rPr>
          <w:rStyle w:val="7"/>
          <w:rFonts w:ascii="仿宋_GB2312" w:hAnsi="华文仿宋" w:eastAsia="仿宋_GB2312" w:cstheme="minorBidi"/>
          <w:b w:val="0"/>
          <w:i w:val="0"/>
          <w:caps w:val="0"/>
          <w:spacing w:val="0"/>
          <w:w w:val="100"/>
          <w:kern w:val="2"/>
          <w:sz w:val="32"/>
          <w:szCs w:val="32"/>
          <w:lang w:val="en-US" w:eastAsia="zh-CN" w:bidi="ar-SA"/>
        </w:rPr>
        <w:t>2021年本单位无政府性基金预算支出安排。</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九、国有资本经营预算情况说明</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2021年本单位无国有资本经营预算支出安排。</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十、政府采购预算情况说明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2021年政府采购预算535万元，同比增加518.5万元，增长3142.42%。</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（一）按政府采购项目类型划分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政府集中采购预算535万元,占政府采购预算的100%，同比增加518.5万元，增长3142.42%。</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（二）</w:t>
      </w:r>
      <w:r>
        <w:rPr>
          <w:rStyle w:val="7"/>
          <w:rFonts w:ascii="仿宋_GB2312" w:hAnsi="华文仿宋" w:eastAsia="仿宋_GB2312"/>
          <w:b w:val="0"/>
          <w:i w:val="0"/>
          <w:caps w:val="0"/>
          <w:spacing w:val="0"/>
          <w:w w:val="100"/>
          <w:kern w:val="2"/>
          <w:sz w:val="32"/>
          <w:szCs w:val="32"/>
          <w:lang w:val="en-US" w:eastAsia="zh-CN" w:bidi="ar-SA"/>
        </w:rPr>
        <w:t>按政府采购资金来源划分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b w:val="0"/>
          <w:i w:val="0"/>
          <w:caps w:val="0"/>
          <w:spacing w:val="0"/>
          <w:w w:val="100"/>
          <w:kern w:val="2"/>
          <w:sz w:val="32"/>
          <w:szCs w:val="32"/>
          <w:lang w:val="en-US" w:eastAsia="zh-CN" w:bidi="ar-SA"/>
        </w:rPr>
        <w:t>通过一般公共预算安排采购支出预算535万元</w:t>
      </w:r>
      <w:r>
        <w:rPr>
          <w:rStyle w:val="7"/>
          <w:rFonts w:ascii="仿宋_GB2312" w:hAnsi="华文仿宋" w:eastAsia="仿宋_GB2312" w:cs="宋体"/>
          <w:b w:val="0"/>
          <w:bCs/>
          <w:i w:val="0"/>
          <w:caps w:val="0"/>
          <w:color w:val="000000"/>
          <w:spacing w:val="0"/>
          <w:w w:val="100"/>
          <w:kern w:val="0"/>
          <w:sz w:val="32"/>
          <w:szCs w:val="32"/>
          <w:lang w:val="en-US" w:eastAsia="zh-CN" w:bidi="ar-SA"/>
        </w:rPr>
        <w:t>。</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十一、政府购买服务预算情况说明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2021年纳入政府购买服务预算支出535万元，</w:t>
      </w:r>
      <w:r>
        <w:rPr>
          <w:rStyle w:val="7"/>
          <w:rFonts w:ascii="仿宋_GB2312" w:hAnsi="华文仿宋" w:eastAsia="仿宋_GB2312"/>
          <w:b w:val="0"/>
          <w:i w:val="0"/>
          <w:caps w:val="0"/>
          <w:spacing w:val="0"/>
          <w:w w:val="100"/>
          <w:kern w:val="2"/>
          <w:sz w:val="32"/>
          <w:szCs w:val="32"/>
          <w:lang w:val="en-US" w:eastAsia="zh-CN" w:bidi="ar-SA"/>
        </w:rPr>
        <w:t>通过一般公共预算安排购买服务支出预算535万元</w:t>
      </w:r>
      <w:r>
        <w:rPr>
          <w:rStyle w:val="7"/>
          <w:rFonts w:ascii="仿宋_GB2312" w:hAnsi="华文仿宋" w:eastAsia="仿宋_GB2312" w:cs="宋体"/>
          <w:b w:val="0"/>
          <w:bCs/>
          <w:i w:val="0"/>
          <w:caps w:val="0"/>
          <w:color w:val="000000"/>
          <w:spacing w:val="0"/>
          <w:w w:val="100"/>
          <w:kern w:val="0"/>
          <w:sz w:val="32"/>
          <w:szCs w:val="32"/>
          <w:lang w:val="en-US" w:eastAsia="zh-CN" w:bidi="ar-SA"/>
        </w:rPr>
        <w:t>。</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黑体" w:hAnsi="黑体" w:eastAsia="黑体" w:cs="黑体"/>
          <w:b/>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十二、2021年单位预算其他重要事项情况说明</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楷体_GB2312" w:hAnsi="华文仿宋" w:eastAsia="楷体_GB2312" w:cstheme="minorBidi"/>
          <w:b/>
          <w:i w:val="0"/>
          <w:caps w:val="0"/>
          <w:color w:val="000000"/>
          <w:spacing w:val="0"/>
          <w:w w:val="100"/>
          <w:kern w:val="2"/>
          <w:sz w:val="32"/>
          <w:szCs w:val="32"/>
          <w:lang w:val="en-US" w:eastAsia="zh-CN" w:bidi="ar-SA"/>
        </w:rPr>
      </w:pPr>
      <w:r>
        <w:rPr>
          <w:rStyle w:val="7"/>
          <w:rFonts w:ascii="楷体_GB2312" w:hAnsi="华文仿宋" w:eastAsia="楷体_GB2312" w:cstheme="minorBidi"/>
          <w:b/>
          <w:i w:val="0"/>
          <w:caps w:val="0"/>
          <w:color w:val="000000"/>
          <w:spacing w:val="0"/>
          <w:w w:val="100"/>
          <w:kern w:val="2"/>
          <w:sz w:val="32"/>
          <w:szCs w:val="32"/>
          <w:lang w:val="en-US" w:eastAsia="zh-CN" w:bidi="ar-SA"/>
        </w:rPr>
        <w:t>（一）机关运行经费安排情况说明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2021年本单位无机关运行经费安排情况。</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楷体_GB2312" w:hAnsi="华文仿宋" w:eastAsia="楷体_GB2312" w:cstheme="minorBidi"/>
          <w:b/>
          <w:i w:val="0"/>
          <w:caps w:val="0"/>
          <w:color w:val="000000"/>
          <w:spacing w:val="0"/>
          <w:w w:val="100"/>
          <w:kern w:val="2"/>
          <w:sz w:val="32"/>
          <w:szCs w:val="32"/>
          <w:lang w:val="en-US" w:eastAsia="zh-CN" w:bidi="ar-SA"/>
        </w:rPr>
      </w:pPr>
      <w:r>
        <w:rPr>
          <w:rStyle w:val="7"/>
          <w:rFonts w:ascii="楷体_GB2312" w:hAnsi="华文仿宋" w:eastAsia="楷体_GB2312" w:cstheme="minorBidi"/>
          <w:b/>
          <w:i w:val="0"/>
          <w:caps w:val="0"/>
          <w:color w:val="000000"/>
          <w:spacing w:val="0"/>
          <w:w w:val="100"/>
          <w:kern w:val="2"/>
          <w:sz w:val="32"/>
          <w:szCs w:val="32"/>
          <w:lang w:val="en-US" w:eastAsia="zh-CN" w:bidi="ar-SA"/>
        </w:rPr>
        <w:t>（二）国有资产占用情况说明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2021年本单位无国有资产占用情况。</w:t>
      </w:r>
    </w:p>
    <w:p>
      <w:pPr>
        <w:keepNext w:val="0"/>
        <w:keepLines w:val="0"/>
        <w:pageBreakBefore w:val="0"/>
        <w:widowControl/>
        <w:tabs>
          <w:tab w:val="center" w:pos="4475"/>
        </w:tabs>
        <w:kinsoku/>
        <w:wordWrap/>
        <w:overflowPunct/>
        <w:topLinePunct w:val="0"/>
        <w:autoSpaceDE/>
        <w:autoSpaceDN/>
        <w:bidi w:val="0"/>
        <w:adjustRightInd/>
        <w:snapToGrid/>
        <w:spacing w:beforeAutospacing="0" w:afterAutospacing="0" w:line="560" w:lineRule="exact"/>
        <w:ind w:firstLine="645"/>
        <w:jc w:val="both"/>
        <w:textAlignment w:val="baseline"/>
        <w:rPr>
          <w:rStyle w:val="7"/>
          <w:rFonts w:ascii="楷体_GB2312" w:hAnsi="华文仿宋" w:eastAsia="楷体_GB2312"/>
          <w:b/>
          <w:i w:val="0"/>
          <w:caps w:val="0"/>
          <w:color w:val="000000"/>
          <w:spacing w:val="0"/>
          <w:w w:val="100"/>
          <w:kern w:val="2"/>
          <w:sz w:val="32"/>
          <w:szCs w:val="32"/>
          <w:lang w:val="en-US" w:eastAsia="zh-CN" w:bidi="ar-SA"/>
        </w:rPr>
      </w:pPr>
      <w:r>
        <w:rPr>
          <w:rStyle w:val="7"/>
          <w:rFonts w:ascii="楷体_GB2312" w:hAnsi="华文仿宋" w:eastAsia="楷体_GB2312"/>
          <w:b/>
          <w:i w:val="0"/>
          <w:caps w:val="0"/>
          <w:color w:val="000000"/>
          <w:spacing w:val="0"/>
          <w:w w:val="100"/>
          <w:kern w:val="2"/>
          <w:sz w:val="32"/>
          <w:szCs w:val="32"/>
          <w:lang w:val="en-US" w:eastAsia="zh-CN" w:bidi="ar-SA"/>
        </w:rPr>
        <w:t>（三）200万元以上项目预算绩效情况说明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baseline"/>
        <w:rPr>
          <w:rStyle w:val="7"/>
          <w:rFonts w:ascii="仿宋_GB2312" w:hAnsi="华文仿宋" w:eastAsia="仿宋_GB2312"/>
          <w:b w:val="0"/>
          <w:i w:val="0"/>
          <w:caps w:val="0"/>
          <w:spacing w:val="0"/>
          <w:w w:val="100"/>
          <w:kern w:val="2"/>
          <w:sz w:val="32"/>
          <w:szCs w:val="32"/>
          <w:lang w:val="en-US" w:eastAsia="zh-CN" w:bidi="ar-SA"/>
        </w:rPr>
      </w:pPr>
      <w:r>
        <w:rPr>
          <w:rStyle w:val="7"/>
          <w:rFonts w:ascii="仿宋_GB2312" w:hAnsi="华文仿宋" w:eastAsia="仿宋_GB2312" w:cs="宋体"/>
          <w:b w:val="0"/>
          <w:bCs/>
          <w:i w:val="0"/>
          <w:caps w:val="0"/>
          <w:color w:val="000000"/>
          <w:spacing w:val="0"/>
          <w:w w:val="100"/>
          <w:kern w:val="0"/>
          <w:sz w:val="32"/>
          <w:szCs w:val="32"/>
          <w:lang w:val="en-US" w:eastAsia="zh-CN" w:bidi="ar-SA"/>
        </w:rPr>
        <w:t>柳州科技馆2021年单位预算有3个200万元以上的项目列入绩效考核范围，涉及一般公共预算拨款支出1297.40万元。分别是：聘用人员经费，预算金额307.19万元；水电能耗费，预算金额455.21万元；物业管理费，预算金额535万元。</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Style w:val="7"/>
          <w:rFonts w:ascii="仿宋_GB2312" w:hAnsi="华文仿宋" w:eastAsia="仿宋_GB2312" w:cs="宋体"/>
          <w:b/>
          <w:bCs/>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218"/>
        <w:jc w:val="center"/>
        <w:textAlignment w:val="baseline"/>
        <w:rPr>
          <w:rStyle w:val="6"/>
          <w:rFonts w:ascii="仿宋_GB2312" w:hAnsi="华文仿宋" w:eastAsia="仿宋_GB2312" w:cs="Times New Roman"/>
          <w:b/>
          <w:bCs/>
          <w:i w:val="0"/>
          <w:caps w:val="0"/>
          <w:color w:val="000000"/>
          <w:spacing w:val="0"/>
          <w:w w:val="100"/>
          <w:kern w:val="2"/>
          <w:sz w:val="32"/>
          <w:szCs w:val="32"/>
          <w:lang w:val="en-US" w:eastAsia="zh-CN" w:bidi="ar-SA"/>
        </w:rPr>
      </w:pPr>
      <w:r>
        <w:rPr>
          <w:rStyle w:val="6"/>
          <w:rFonts w:ascii="仿宋_GB2312" w:hAnsi="华文仿宋" w:eastAsia="仿宋_GB2312" w:cs="Times New Roman"/>
          <w:b/>
          <w:bCs/>
          <w:i w:val="0"/>
          <w:caps w:val="0"/>
          <w:color w:val="000000"/>
          <w:spacing w:val="0"/>
          <w:w w:val="100"/>
          <w:kern w:val="2"/>
          <w:sz w:val="32"/>
          <w:szCs w:val="32"/>
          <w:lang w:val="en-US" w:eastAsia="zh-CN" w:bidi="ar-SA"/>
        </w:rPr>
        <w:t>第四部分：名词解释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一、财政拨款收入</w:t>
      </w:r>
      <w:r>
        <w:rPr>
          <w:rStyle w:val="7"/>
          <w:rFonts w:ascii="仿宋_GB2312" w:hAnsi="华文仿宋" w:eastAsia="仿宋_GB2312" w:cs="宋体"/>
          <w:b w:val="0"/>
          <w:bCs/>
          <w:i w:val="0"/>
          <w:caps w:val="0"/>
          <w:color w:val="000000"/>
          <w:spacing w:val="0"/>
          <w:w w:val="100"/>
          <w:kern w:val="0"/>
          <w:sz w:val="32"/>
          <w:szCs w:val="32"/>
          <w:lang w:val="en-US" w:eastAsia="zh-CN" w:bidi="ar-SA"/>
        </w:rPr>
        <w:t xml:space="preserve">：指市本级财政部门当年拨付的资金。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二、事业收入</w:t>
      </w:r>
      <w:r>
        <w:rPr>
          <w:rStyle w:val="7"/>
          <w:rFonts w:ascii="仿宋_GB2312" w:hAnsi="华文仿宋" w:eastAsia="仿宋_GB2312" w:cs="宋体"/>
          <w:b w:val="0"/>
          <w:bCs/>
          <w:i w:val="0"/>
          <w:caps w:val="0"/>
          <w:color w:val="000000"/>
          <w:spacing w:val="0"/>
          <w:w w:val="100"/>
          <w:kern w:val="0"/>
          <w:sz w:val="32"/>
          <w:szCs w:val="32"/>
          <w:lang w:val="en-US" w:eastAsia="zh-CN" w:bidi="ar-SA"/>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三、经营收入</w:t>
      </w:r>
      <w:r>
        <w:rPr>
          <w:rStyle w:val="7"/>
          <w:rFonts w:ascii="仿宋_GB2312" w:hAnsi="华文仿宋" w:eastAsia="仿宋_GB2312" w:cs="宋体"/>
          <w:b w:val="0"/>
          <w:bCs/>
          <w:i w:val="0"/>
          <w:caps w:val="0"/>
          <w:color w:val="000000"/>
          <w:spacing w:val="0"/>
          <w:w w:val="1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四、其他收入</w:t>
      </w:r>
      <w:r>
        <w:rPr>
          <w:rStyle w:val="7"/>
          <w:rFonts w:ascii="仿宋_GB2312" w:hAnsi="华文仿宋" w:eastAsia="仿宋_GB2312" w:cs="宋体"/>
          <w:b w:val="0"/>
          <w:bCs/>
          <w:i w:val="0"/>
          <w:caps w:val="0"/>
          <w:color w:val="000000"/>
          <w:spacing w:val="0"/>
          <w:w w:val="100"/>
          <w:kern w:val="0"/>
          <w:sz w:val="32"/>
          <w:szCs w:val="32"/>
          <w:lang w:val="en-US" w:eastAsia="zh-CN" w:bidi="ar-SA"/>
        </w:rPr>
        <w:t>：指除上述“财政拨款收入”“事业收入”“经营收入”等以外的收入。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五、基本支出</w:t>
      </w:r>
      <w:r>
        <w:rPr>
          <w:rStyle w:val="7"/>
          <w:rFonts w:ascii="仿宋_GB2312" w:hAnsi="华文仿宋" w:eastAsia="仿宋_GB2312" w:cs="宋体"/>
          <w:b w:val="0"/>
          <w:bCs/>
          <w:i w:val="0"/>
          <w:caps w:val="0"/>
          <w:color w:val="000000"/>
          <w:spacing w:val="0"/>
          <w:w w:val="100"/>
          <w:kern w:val="0"/>
          <w:sz w:val="32"/>
          <w:szCs w:val="32"/>
          <w:lang w:val="en-US" w:eastAsia="zh-CN" w:bidi="ar-SA"/>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六、项目支出</w:t>
      </w:r>
      <w:r>
        <w:rPr>
          <w:rStyle w:val="7"/>
          <w:rFonts w:ascii="仿宋_GB2312" w:hAnsi="华文仿宋" w:eastAsia="仿宋_GB2312" w:cs="宋体"/>
          <w:b w:val="0"/>
          <w:bCs/>
          <w:i w:val="0"/>
          <w:caps w:val="0"/>
          <w:color w:val="000000"/>
          <w:spacing w:val="0"/>
          <w:w w:val="1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七、“三公”经费</w:t>
      </w:r>
      <w:r>
        <w:rPr>
          <w:rStyle w:val="7"/>
          <w:rFonts w:ascii="仿宋_GB2312" w:hAnsi="华文仿宋" w:eastAsia="仿宋_GB2312" w:cs="宋体"/>
          <w:b w:val="0"/>
          <w:bCs/>
          <w:i w:val="0"/>
          <w:caps w:val="0"/>
          <w:color w:val="000000"/>
          <w:spacing w:val="0"/>
          <w:w w:val="100"/>
          <w:kern w:val="0"/>
          <w:sz w:val="32"/>
          <w:szCs w:val="32"/>
          <w:lang w:val="en-US" w:eastAsia="zh-CN" w:bidi="ar-SA"/>
        </w:rPr>
        <w:t>：纳入市财政预决算管理的“三公”经费，是</w:t>
      </w:r>
      <w:r>
        <w:rPr>
          <w:rStyle w:val="7"/>
          <w:rFonts w:ascii="仿宋_GB2312" w:hAnsi="仿宋_GB2312" w:eastAsia="仿宋_GB2312" w:cs="仿宋_GB2312"/>
          <w:b w:val="0"/>
          <w:bCs/>
          <w:i w:val="0"/>
          <w:caps w:val="0"/>
          <w:color w:val="000000"/>
          <w:spacing w:val="0"/>
          <w:w w:val="100"/>
          <w:kern w:val="0"/>
          <w:sz w:val="32"/>
          <w:szCs w:val="32"/>
          <w:lang w:val="en-US" w:eastAsia="zh-CN" w:bidi="ar-SA"/>
        </w:rPr>
        <w:t>指市</w:t>
      </w:r>
      <w:r>
        <w:rPr>
          <w:rStyle w:val="7"/>
          <w:rFonts w:ascii="仿宋_GB2312" w:hAnsi="仿宋_GB2312" w:eastAsia="仿宋_GB2312"/>
          <w:b w:val="0"/>
          <w:i w:val="0"/>
          <w:caps w:val="0"/>
          <w:spacing w:val="0"/>
          <w:w w:val="100"/>
          <w:kern w:val="2"/>
          <w:sz w:val="32"/>
          <w:szCs w:val="32"/>
          <w:lang w:val="en-US" w:eastAsia="zh-CN" w:bidi="ar-SA"/>
        </w:rPr>
        <w:t>本级各部门用财政拨款安排的因公出国（境）费、公务用车购置及运行费和公务接待费。</w:t>
      </w:r>
      <w:r>
        <w:rPr>
          <w:rStyle w:val="7"/>
          <w:rFonts w:ascii="仿宋_GB2312" w:hAnsi="华文仿宋" w:eastAsia="仿宋_GB2312" w:cs="宋体"/>
          <w:b w:val="0"/>
          <w:bCs/>
          <w:i w:val="0"/>
          <w:caps w:val="0"/>
          <w:color w:val="000000"/>
          <w:spacing w:val="0"/>
          <w:w w:val="1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baseline"/>
        <w:rPr>
          <w:rStyle w:val="7"/>
          <w:rFonts w:ascii="仿宋_GB2312" w:hAnsi="华文仿宋" w:eastAsia="仿宋_GB2312" w:cs="宋体"/>
          <w:b w:val="0"/>
          <w:bCs/>
          <w:i w:val="0"/>
          <w:caps w:val="0"/>
          <w:color w:val="000000"/>
          <w:spacing w:val="0"/>
          <w:w w:val="100"/>
          <w:kern w:val="0"/>
          <w:sz w:val="32"/>
          <w:szCs w:val="32"/>
          <w:lang w:val="en-US" w:eastAsia="zh-CN" w:bidi="ar-SA"/>
        </w:rPr>
      </w:pPr>
      <w:r>
        <w:rPr>
          <w:rStyle w:val="7"/>
          <w:rFonts w:ascii="黑体" w:hAnsi="黑体" w:eastAsia="黑体" w:cs="黑体"/>
          <w:b/>
          <w:bCs/>
          <w:i w:val="0"/>
          <w:caps w:val="0"/>
          <w:color w:val="000000"/>
          <w:spacing w:val="0"/>
          <w:w w:val="100"/>
          <w:kern w:val="0"/>
          <w:sz w:val="32"/>
          <w:szCs w:val="32"/>
          <w:lang w:val="en-US" w:eastAsia="zh-CN" w:bidi="ar-SA"/>
        </w:rPr>
        <w:t>八、机关运行经费</w:t>
      </w:r>
      <w:r>
        <w:rPr>
          <w:rStyle w:val="7"/>
          <w:rFonts w:ascii="仿宋_GB2312" w:hAnsi="华文仿宋" w:eastAsia="仿宋_GB2312" w:cs="宋体"/>
          <w:b w:val="0"/>
          <w:bCs/>
          <w:i w:val="0"/>
          <w:caps w:val="0"/>
          <w:color w:val="000000"/>
          <w:spacing w:val="0"/>
          <w:w w:val="1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3"/>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3"/>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3FD"/>
    <w:multiLevelType w:val="singleLevel"/>
    <w:tmpl w:val="E8F683FD"/>
    <w:lvl w:ilvl="0" w:tentative="0">
      <w:start w:val="1"/>
      <w:numFmt w:val="chineseCounting"/>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32EE"/>
    <w:rsid w:val="00076959"/>
    <w:rsid w:val="0013425E"/>
    <w:rsid w:val="001F0C1D"/>
    <w:rsid w:val="002F0BAD"/>
    <w:rsid w:val="00406EB8"/>
    <w:rsid w:val="00484673"/>
    <w:rsid w:val="004A3C67"/>
    <w:rsid w:val="004E3A50"/>
    <w:rsid w:val="00542C39"/>
    <w:rsid w:val="00556CE4"/>
    <w:rsid w:val="00613963"/>
    <w:rsid w:val="0069485E"/>
    <w:rsid w:val="00707EBA"/>
    <w:rsid w:val="00792ABE"/>
    <w:rsid w:val="008F4AB4"/>
    <w:rsid w:val="008F7EFC"/>
    <w:rsid w:val="00907331"/>
    <w:rsid w:val="00915AA9"/>
    <w:rsid w:val="009C5DE8"/>
    <w:rsid w:val="00A225C3"/>
    <w:rsid w:val="00AF08B5"/>
    <w:rsid w:val="00AF4866"/>
    <w:rsid w:val="00B641F9"/>
    <w:rsid w:val="00DF7238"/>
    <w:rsid w:val="00E05272"/>
    <w:rsid w:val="00E93891"/>
    <w:rsid w:val="00EE5741"/>
    <w:rsid w:val="00F46C3C"/>
    <w:rsid w:val="00FB7DB1"/>
    <w:rsid w:val="00FD718B"/>
    <w:rsid w:val="00FF239B"/>
    <w:rsid w:val="290B590F"/>
    <w:rsid w:val="2E074E33"/>
    <w:rsid w:val="3CB41F21"/>
    <w:rsid w:val="44956B7B"/>
    <w:rsid w:val="583051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styleId="6">
    <w:name w:val="Strong"/>
    <w:link w:val="1"/>
    <w:qFormat/>
    <w:uiPriority w:val="0"/>
    <w:rPr>
      <w:rFonts w:cs="Times New Roman"/>
      <w:b/>
      <w:bCs/>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Acetate"/>
    <w:basedOn w:val="1"/>
    <w:link w:val="10"/>
    <w:uiPriority w:val="0"/>
    <w:pPr>
      <w:jc w:val="both"/>
      <w:textAlignment w:val="baseline"/>
    </w:pPr>
    <w:rPr>
      <w:kern w:val="2"/>
      <w:sz w:val="18"/>
      <w:szCs w:val="18"/>
      <w:lang w:bidi="ar-SA"/>
    </w:rPr>
  </w:style>
  <w:style w:type="character" w:customStyle="1" w:styleId="10">
    <w:name w:val="UserStyle_0"/>
    <w:link w:val="9"/>
    <w:qFormat/>
    <w:uiPriority w:val="0"/>
    <w:rPr>
      <w:kern w:val="2"/>
      <w:sz w:val="18"/>
      <w:szCs w:val="18"/>
    </w:rPr>
  </w:style>
  <w:style w:type="character" w:customStyle="1" w:styleId="11">
    <w:name w:val="UserStyle_1"/>
    <w:link w:val="3"/>
    <w:qFormat/>
    <w:uiPriority w:val="0"/>
    <w:rPr>
      <w:kern w:val="2"/>
      <w:sz w:val="18"/>
      <w:szCs w:val="18"/>
    </w:rPr>
  </w:style>
  <w:style w:type="paragraph" w:customStyle="1" w:styleId="12">
    <w:name w:val="HtmlNormal"/>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13">
    <w:name w:val="PageNumber"/>
    <w:basedOn w:val="7"/>
    <w:link w:val="1"/>
    <w:qFormat/>
    <w:uiPriority w:val="0"/>
  </w:style>
  <w:style w:type="paragraph" w:customStyle="1" w:styleId="14">
    <w:name w:val="UserStyle_2"/>
    <w:basedOn w:val="1"/>
    <w:qFormat/>
    <w:uiPriority w:val="0"/>
    <w:pPr>
      <w:jc w:val="both"/>
      <w:textAlignment w:val="baseline"/>
    </w:pPr>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2021-04-23T01:21:00Z</dcterms:created>
  <dc:creator>Administrator</dc:creator>
  <cp:lastModifiedBy>Administrator</cp:lastModifiedBy>
  <dcterms:modified xsi:type="dcterms:W3CDTF">2021-05-18T03:26:35Z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26B026D2CDF2413094ACC5A93CFADF23</vt:lpwstr>
  </property>
</Properties>
</file>