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val="en-US" w:eastAsia="zh-CN"/>
        </w:rPr>
      </w:pPr>
      <w:r>
        <w:rPr>
          <w:rFonts w:hint="eastAsia" w:ascii="方正小标宋简体" w:hAnsi="华文仿宋" w:eastAsia="方正小标宋简体"/>
          <w:sz w:val="44"/>
          <w:szCs w:val="44"/>
          <w:lang w:val="en-US" w:eastAsia="zh-CN"/>
        </w:rPr>
        <w:t>柳州市农业机械化管理中心</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lang w:val="en-US" w:eastAsia="zh-CN"/>
        </w:rPr>
        <w:t>2021年单位</w:t>
      </w: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Style w:val="8"/>
          <w:rFonts w:hint="eastAsia" w:ascii="方正小标宋简体" w:hAnsi="华文仿宋" w:eastAsia="方正小标宋简体"/>
          <w:bCs w:val="0"/>
          <w:sz w:val="44"/>
          <w:szCs w:val="44"/>
        </w:rPr>
      </w:pPr>
      <w:r>
        <w:rPr>
          <w:rStyle w:val="8"/>
          <w:rFonts w:hint="eastAsia" w:ascii="方正小标宋简体" w:hAnsi="华文仿宋" w:eastAsia="方正小标宋简体"/>
          <w:bCs w:val="0"/>
          <w:sz w:val="44"/>
          <w:szCs w:val="44"/>
        </w:rPr>
        <w:t>目 录</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highlight w:val="red"/>
          <w:lang w:eastAsia="zh-CN"/>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柳州市农业机械化管理中心单位</w:t>
      </w:r>
      <w:r>
        <w:rPr>
          <w:rFonts w:hint="eastAsia" w:ascii="仿宋_GB2312" w:hAnsi="华文仿宋" w:eastAsia="仿宋_GB2312"/>
          <w:b/>
          <w:bCs/>
          <w:color w:val="000000"/>
          <w:sz w:val="32"/>
          <w:szCs w:val="32"/>
        </w:rPr>
        <w:t>概况</w:t>
      </w: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主要职责</w:t>
      </w: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left="0" w:leftChars="0"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机构设置情况</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柳州市农业机械化管理中心</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1</w:t>
      </w:r>
      <w:r>
        <w:rPr>
          <w:rFonts w:hint="eastAsia" w:ascii="仿宋_GB2312" w:hAnsi="华文仿宋" w:eastAsia="仿宋_GB2312"/>
          <w:b/>
          <w:bCs/>
          <w:color w:val="000000"/>
          <w:sz w:val="32"/>
          <w:szCs w:val="32"/>
        </w:rPr>
        <w:t>年</w:t>
      </w:r>
      <w:r>
        <w:rPr>
          <w:rFonts w:hint="eastAsia" w:ascii="仿宋_GB2312" w:hAnsi="华文仿宋" w:eastAsia="仿宋_GB2312"/>
          <w:b/>
          <w:bCs/>
          <w:color w:val="000000"/>
          <w:sz w:val="32"/>
          <w:szCs w:val="32"/>
          <w:lang w:eastAsia="zh-CN"/>
        </w:rPr>
        <w:t>单位</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九、国有资本经营预算支出</w:t>
      </w:r>
      <w:r>
        <w:rPr>
          <w:rFonts w:hint="eastAsia" w:ascii="仿宋_GB2312" w:hAnsi="华文仿宋" w:eastAsia="仿宋_GB2312"/>
          <w:bCs/>
          <w:color w:val="000000"/>
          <w:sz w:val="32"/>
          <w:szCs w:val="32"/>
          <w:lang w:eastAsia="zh-CN"/>
        </w:rPr>
        <w:t>情况</w:t>
      </w:r>
      <w:r>
        <w:rPr>
          <w:rFonts w:hint="eastAsia" w:ascii="仿宋_GB2312" w:hAnsi="华文仿宋" w:eastAsia="仿宋_GB2312"/>
          <w:bCs/>
          <w:color w:val="000000"/>
          <w:sz w:val="32"/>
          <w:szCs w:val="32"/>
        </w:rPr>
        <w:t>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十一、政府购买服务预算表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11表）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_GB2312" w:hAnsi="华文仿宋" w:eastAsia="仿宋_GB2312"/>
          <w:b/>
          <w:bCs/>
          <w:color w:val="000000"/>
          <w:sz w:val="32"/>
          <w:szCs w:val="32"/>
          <w:lang w:val="en-US" w:eastAsia="zh-CN"/>
        </w:rPr>
        <w:t>柳州市农业机械化管理中心2021年</w:t>
      </w:r>
      <w:r>
        <w:rPr>
          <w:rFonts w:hint="eastAsia" w:ascii="仿宋_GB2312" w:hAnsi="华文仿宋" w:eastAsia="仿宋_GB2312"/>
          <w:b/>
          <w:bCs/>
          <w:color w:val="000000"/>
          <w:sz w:val="32"/>
          <w:szCs w:val="32"/>
          <w:lang w:eastAsia="zh-CN"/>
        </w:rPr>
        <w:t>单位</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keepNext w:val="0"/>
        <w:keepLines w:val="0"/>
        <w:pageBreakBefore w:val="0"/>
        <w:kinsoku/>
        <w:wordWrap/>
        <w:overflowPunct/>
        <w:topLinePunct w:val="0"/>
        <w:autoSpaceDE/>
        <w:autoSpaceDN/>
        <w:bidi w:val="0"/>
        <w:spacing w:line="560" w:lineRule="exact"/>
        <w:textAlignment w:val="auto"/>
        <w:rPr>
          <w:rStyle w:val="8"/>
          <w:rFonts w:hint="eastAsia" w:ascii="仿宋_GB2312" w:hAnsi="华文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8"/>
          <w:rFonts w:hint="eastAsia" w:ascii="仿宋_GB2312" w:hAnsi="华文仿宋" w:eastAsia="仿宋_GB2312"/>
          <w:color w:val="000000"/>
          <w:sz w:val="32"/>
          <w:szCs w:val="32"/>
          <w:highlight w:val="none"/>
        </w:rPr>
      </w:pPr>
      <w:r>
        <w:rPr>
          <w:rStyle w:val="8"/>
          <w:rFonts w:hint="eastAsia" w:ascii="仿宋_GB2312" w:hAnsi="华文仿宋" w:eastAsia="仿宋_GB2312"/>
          <w:color w:val="000000"/>
          <w:sz w:val="32"/>
          <w:szCs w:val="32"/>
          <w:highlight w:val="none"/>
        </w:rPr>
        <w:t>第一部分：</w:t>
      </w:r>
      <w:r>
        <w:rPr>
          <w:rStyle w:val="8"/>
          <w:rFonts w:hint="eastAsia" w:ascii="仿宋_GB2312" w:hAnsi="华文仿宋" w:eastAsia="仿宋_GB2312"/>
          <w:color w:val="000000"/>
          <w:sz w:val="32"/>
          <w:szCs w:val="32"/>
          <w:highlight w:val="none"/>
          <w:lang w:val="en-US" w:eastAsia="zh-CN"/>
        </w:rPr>
        <w:t>柳州市农业机械化管理中心</w:t>
      </w:r>
      <w:r>
        <w:rPr>
          <w:rStyle w:val="8"/>
          <w:rFonts w:hint="eastAsia" w:ascii="仿宋_GB2312" w:hAnsi="华文仿宋" w:eastAsia="仿宋_GB2312"/>
          <w:color w:val="000000"/>
          <w:sz w:val="32"/>
          <w:szCs w:val="32"/>
          <w:highlight w:val="none"/>
        </w:rPr>
        <w:t>概况</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（一）贯彻落实国家农业机械化的方针、政策和法律、法规，研究提出农业机械化发展方向,为推进农业机械化发展提供技术性支撑和事务性服务。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（二）调查研究农业机械结构调整和产业化发展方向以及有关设施农业、农用航空、保护性耕作和节水施肥农业装备等重大经济、技术问题，提出对策建议。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（三）组织实施农业机械购置补贴专项工作并开展业务管理。指导农业机械化生产、农机社会化服务体系建设、农机维修网络建设和农机抗灾救灾工作。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四）配合自治区起草农业机械产品需求与科研导向目录、自治区支持推广的农业机械产品目录以及农机生产、维修、作业等地方标准和技术规范。指导与服务重大农业机械科研攻关和建立农业机械化示范基地。组织实施农业机械化推广体系改革与建设项目和农机社会化服务体系建设项目。负责农业机械新技术引进、开发、示范、推广、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（五）承担农业机械安全监理的技术性和事务性工作。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（六）负责农业机械鉴定、农业机械产品检验检测的指导与服务工作。负责农业机械质量调查、质量投诉的技术服务工作。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承担农业机械化系统的信息化建设具体工作，拟订农业机械化数据标准规范并协助组织实施。负责农业机械化统计、信息工作。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承担农机教育培训工作。</w:t>
      </w:r>
      <w:r>
        <w:rPr>
          <w:rFonts w:hint="eastAsia" w:ascii="仿宋_GB2312" w:hAnsi="仿宋_GB2312" w:eastAsia="仿宋_GB2312" w:cs="华文仿宋"/>
          <w:color w:val="auto"/>
          <w:sz w:val="32"/>
          <w:szCs w:val="32"/>
        </w:rPr>
        <w:t>组织指导全市农机使用</w:t>
      </w:r>
      <w:r>
        <w:rPr>
          <w:rFonts w:hint="eastAsia" w:ascii="仿宋_GB2312" w:hAnsi="仿宋_GB2312" w:eastAsia="仿宋_GB2312" w:cs="华文仿宋"/>
          <w:color w:val="auto"/>
          <w:sz w:val="32"/>
          <w:szCs w:val="32"/>
          <w:lang w:eastAsia="zh-CN"/>
        </w:rPr>
        <w:t>和</w:t>
      </w:r>
      <w:r>
        <w:rPr>
          <w:rFonts w:hint="eastAsia" w:ascii="仿宋_GB2312" w:hAnsi="仿宋_GB2312" w:eastAsia="仿宋_GB2312" w:cs="华文仿宋"/>
          <w:color w:val="auto"/>
          <w:sz w:val="32"/>
          <w:szCs w:val="32"/>
        </w:rPr>
        <w:t>管理等各类人员的培训工作</w:t>
      </w:r>
      <w:r>
        <w:rPr>
          <w:rFonts w:hint="eastAsia" w:ascii="仿宋_GB2312" w:hAnsi="仿宋_GB2312" w:eastAsia="仿宋_GB2312" w:cs="华文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eastAsia="zh-CN"/>
        </w:rPr>
        <w:t>为贯彻落实农机法律法规提供政策性、专业性和技术性指导和服务。</w:t>
      </w:r>
    </w:p>
    <w:p>
      <w:pPr>
        <w:pStyle w:val="5"/>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完成</w:t>
      </w:r>
      <w:r>
        <w:rPr>
          <w:rFonts w:hint="eastAsia" w:ascii="华文仿宋" w:hAnsi="华文仿宋" w:eastAsia="华文仿宋" w:cs="华文仿宋"/>
          <w:color w:val="auto"/>
          <w:sz w:val="32"/>
          <w:szCs w:val="32"/>
          <w:lang w:eastAsia="zh-CN"/>
        </w:rPr>
        <w:t>主管部门</w:t>
      </w:r>
      <w:r>
        <w:rPr>
          <w:rFonts w:hint="eastAsia" w:ascii="华文仿宋" w:hAnsi="华文仿宋" w:eastAsia="华文仿宋" w:cs="华文仿宋"/>
          <w:color w:val="auto"/>
          <w:sz w:val="32"/>
          <w:szCs w:val="32"/>
        </w:rPr>
        <w:t>交办的其它任务</w:t>
      </w:r>
      <w:r>
        <w:rPr>
          <w:rFonts w:hint="eastAsia" w:ascii="华文仿宋" w:hAnsi="华文仿宋" w:eastAsia="华文仿宋" w:cs="华文仿宋"/>
          <w:color w:val="auto"/>
          <w:sz w:val="32"/>
          <w:szCs w:val="32"/>
          <w:lang w:eastAsia="zh-CN"/>
        </w:rPr>
        <w:t>。</w:t>
      </w: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机构设置情况</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color w:val="000000"/>
          <w:kern w:val="2"/>
          <w:sz w:val="32"/>
          <w:szCs w:val="32"/>
          <w:lang w:val="en-US" w:eastAsia="zh-CN" w:bidi="ar-SA"/>
        </w:rPr>
      </w:pPr>
      <w:r>
        <w:rPr>
          <w:rFonts w:hint="eastAsia" w:ascii="仿宋_GB2312" w:hAnsi="华文仿宋" w:eastAsia="仿宋_GB2312" w:cs="Times New Roman"/>
          <w:color w:val="000000"/>
          <w:kern w:val="2"/>
          <w:sz w:val="32"/>
          <w:szCs w:val="32"/>
          <w:lang w:val="en-US" w:eastAsia="zh-CN" w:bidi="ar-SA"/>
        </w:rPr>
        <w:t>柳州市农业机械化管理中心是市农业农村局管理的正处级公益一类全额拨款事业单位。</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Times New Roman"/>
          <w:color w:val="000000"/>
          <w:kern w:val="2"/>
          <w:sz w:val="32"/>
          <w:szCs w:val="32"/>
          <w:lang w:val="en-US" w:eastAsia="zh-CN" w:bidi="ar-SA"/>
        </w:rPr>
        <w:t>根据中共柳州市委机构编制委员会印发的《柳州市农业机械化管理中心职能配置、内设机构和人员编制规定》</w:t>
      </w:r>
      <w:r>
        <w:rPr>
          <w:rFonts w:hint="eastAsia" w:ascii="楷体_GB2312" w:hAnsi="华文仿宋" w:eastAsia="楷体_GB2312" w:cs="宋体"/>
          <w:b w:val="0"/>
          <w:bCs/>
          <w:color w:val="000000"/>
          <w:kern w:val="0"/>
          <w:sz w:val="32"/>
          <w:szCs w:val="32"/>
          <w:lang w:val="en-US" w:eastAsia="zh-CN" w:bidi="ar-SA"/>
        </w:rPr>
        <w:t>，</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内设</w:t>
      </w: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个科室，分别为：办公室，</w:t>
      </w:r>
      <w:r>
        <w:rPr>
          <w:rFonts w:hint="eastAsia" w:ascii="仿宋_GB2312" w:hAnsi="华文仿宋" w:eastAsia="仿宋_GB2312"/>
          <w:color w:val="000000"/>
          <w:sz w:val="32"/>
          <w:szCs w:val="32"/>
          <w:lang w:eastAsia="zh-CN"/>
        </w:rPr>
        <w:t>科技推方</w:t>
      </w:r>
      <w:r>
        <w:rPr>
          <w:rFonts w:hint="eastAsia" w:ascii="仿宋_GB2312" w:hAnsi="华文仿宋" w:eastAsia="仿宋_GB2312"/>
          <w:color w:val="000000"/>
          <w:sz w:val="32"/>
          <w:szCs w:val="32"/>
        </w:rPr>
        <w:t>科，</w:t>
      </w:r>
      <w:r>
        <w:rPr>
          <w:rFonts w:hint="eastAsia" w:ascii="仿宋_GB2312" w:hAnsi="华文仿宋" w:eastAsia="仿宋_GB2312"/>
          <w:color w:val="000000"/>
          <w:sz w:val="32"/>
          <w:szCs w:val="32"/>
          <w:lang w:eastAsia="zh-CN"/>
        </w:rPr>
        <w:t>标准与信息化</w:t>
      </w:r>
      <w:r>
        <w:rPr>
          <w:rFonts w:hint="eastAsia" w:ascii="仿宋_GB2312" w:hAnsi="华文仿宋" w:eastAsia="仿宋_GB2312"/>
          <w:color w:val="000000"/>
          <w:sz w:val="32"/>
          <w:szCs w:val="32"/>
        </w:rPr>
        <w:t>科，财务科</w:t>
      </w:r>
      <w:r>
        <w:rPr>
          <w:rFonts w:hint="eastAsia" w:ascii="仿宋_GB2312" w:hAnsi="华文仿宋" w:eastAsia="仿宋_GB2312"/>
          <w:color w:val="000000"/>
          <w:sz w:val="32"/>
          <w:szCs w:val="32"/>
          <w:lang w:eastAsia="zh-CN"/>
        </w:rPr>
        <w:t>，产业发展科，安全监理科</w:t>
      </w:r>
      <w:r>
        <w:rPr>
          <w:rFonts w:hint="eastAsia" w:ascii="仿宋_GB2312" w:hAnsi="华文仿宋" w:eastAsia="仿宋_GB2312"/>
          <w:color w:val="000000"/>
          <w:sz w:val="32"/>
          <w:szCs w:val="32"/>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rPr>
      </w:pPr>
    </w:p>
    <w:p>
      <w:pPr>
        <w:pStyle w:val="5"/>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eastAsia="zh-CN"/>
        </w:rPr>
        <w:t>：柳州市农业机械化管理中心202</w:t>
      </w:r>
      <w:r>
        <w:rPr>
          <w:rFonts w:hint="eastAsia" w:ascii="仿宋_GB2312" w:hAnsi="华文仿宋" w:eastAsia="仿宋_GB2312"/>
          <w:b/>
          <w:bCs/>
          <w:color w:val="000000"/>
          <w:sz w:val="32"/>
          <w:szCs w:val="32"/>
          <w:lang w:val="en-US" w:eastAsia="zh-CN"/>
        </w:rPr>
        <w:t>1</w:t>
      </w:r>
      <w:r>
        <w:rPr>
          <w:rFonts w:hint="eastAsia" w:ascii="仿宋_GB2312" w:hAnsi="华文仿宋" w:eastAsia="仿宋_GB2312"/>
          <w:b/>
          <w:bCs/>
          <w:color w:val="000000"/>
          <w:sz w:val="32"/>
          <w:szCs w:val="32"/>
        </w:rPr>
        <w:t>年</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lang w:eastAsia="zh-CN"/>
        </w:rPr>
        <w:t>单位</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九、国有资本经营预算支出</w:t>
      </w:r>
      <w:r>
        <w:rPr>
          <w:rFonts w:hint="eastAsia" w:ascii="仿宋_GB2312" w:hAnsi="华文仿宋" w:eastAsia="仿宋_GB2312"/>
          <w:bCs/>
          <w:color w:val="000000"/>
          <w:sz w:val="32"/>
          <w:szCs w:val="32"/>
          <w:lang w:eastAsia="zh-CN"/>
        </w:rPr>
        <w:t>情况</w:t>
      </w:r>
      <w:r>
        <w:rPr>
          <w:rFonts w:hint="eastAsia" w:ascii="仿宋_GB2312" w:hAnsi="华文仿宋" w:eastAsia="仿宋_GB2312"/>
          <w:bCs/>
          <w:color w:val="000000"/>
          <w:sz w:val="32"/>
          <w:szCs w:val="32"/>
        </w:rPr>
        <w:t>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rPr>
        <w:t>十一、政府购买服务预算表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11表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0" w:firstLineChars="0"/>
        <w:jc w:val="center"/>
        <w:textAlignment w:val="auto"/>
        <w:rPr>
          <w:rFonts w:hint="eastAsia" w:ascii="仿宋_GB2312" w:hAnsi="华文仿宋" w:eastAsia="仿宋_GB2312"/>
          <w:color w:val="0000FF"/>
          <w:sz w:val="32"/>
          <w:szCs w:val="32"/>
          <w:highlight w:val="cyan"/>
        </w:rPr>
      </w:pPr>
      <w:r>
        <w:rPr>
          <w:rFonts w:hint="eastAsia" w:ascii="仿宋_GB2312" w:hAnsi="华文仿宋" w:eastAsia="仿宋_GB2312"/>
          <w:b/>
          <w:bCs/>
          <w:sz w:val="32"/>
          <w:szCs w:val="32"/>
          <w:highlight w:val="none"/>
        </w:rPr>
        <w:t>上述报表详见附件。</w:t>
      </w:r>
    </w:p>
    <w:p>
      <w:pPr>
        <w:pStyle w:val="5"/>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第三部分：柳州市农业机械化管理中心2021年单位预算情况说明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一、单位收支预算情况说明</w:t>
      </w:r>
    </w:p>
    <w:p>
      <w:pPr>
        <w:pStyle w:val="5"/>
        <w:keepNext w:val="0"/>
        <w:keepLines w:val="0"/>
        <w:pageBreakBefore w:val="0"/>
        <w:kinsoku/>
        <w:wordWrap/>
        <w:overflowPunct/>
        <w:topLinePunct w:val="0"/>
        <w:autoSpaceDE/>
        <w:autoSpaceDN/>
        <w:bidi w:val="0"/>
        <w:spacing w:before="0" w:beforeAutospacing="0" w:after="0" w:afterAutospacing="0" w:line="240" w:lineRule="auto"/>
        <w:ind w:firstLine="640" w:firstLineChars="200"/>
        <w:jc w:val="left"/>
        <w:textAlignment w:val="auto"/>
        <w:outlineLvl w:val="9"/>
        <w:rPr>
          <w:rFonts w:hint="eastAsia" w:ascii="仿宋_GB2312" w:hAnsi="华文仿宋" w:eastAsia="仿宋_GB2312" w:cs="Times New Roman"/>
          <w:b w:val="0"/>
          <w:bCs w:val="0"/>
          <w:strike/>
          <w:color w:val="auto"/>
          <w:kern w:val="2"/>
          <w:sz w:val="32"/>
          <w:szCs w:val="32"/>
          <w:highlight w:val="none"/>
          <w:lang w:val="en-US" w:eastAsia="zh-CN" w:bidi="ar-SA"/>
        </w:rPr>
      </w:pPr>
      <w:r>
        <w:rPr>
          <w:rFonts w:hint="eastAsia" w:ascii="仿宋_GB2312" w:hAnsi="华文仿宋" w:eastAsia="仿宋_GB2312" w:cs="Times New Roman"/>
          <w:b w:val="0"/>
          <w:bCs w:val="0"/>
          <w:color w:val="auto"/>
          <w:kern w:val="2"/>
          <w:sz w:val="32"/>
          <w:szCs w:val="32"/>
          <w:highlight w:val="none"/>
          <w:lang w:val="en-US" w:eastAsia="zh-CN" w:bidi="ar-SA"/>
        </w:rPr>
        <w:t>2021年单位收支总预算642.38万元，同比减少19.69万元，同比下降2.97%，收入包括：</w:t>
      </w:r>
      <w:r>
        <w:rPr>
          <w:rFonts w:hint="eastAsia" w:ascii="仿宋_GB2312" w:hAnsi="华文仿宋" w:eastAsia="仿宋_GB2312" w:cs="宋体"/>
          <w:color w:val="000000"/>
          <w:kern w:val="0"/>
          <w:sz w:val="32"/>
          <w:szCs w:val="32"/>
          <w:highlight w:val="none"/>
        </w:rPr>
        <w:t>一般公共财政预算拨款</w:t>
      </w:r>
      <w:r>
        <w:rPr>
          <w:rFonts w:hint="eastAsia" w:ascii="仿宋_GB2312" w:hAnsi="华文仿宋" w:eastAsia="仿宋_GB2312" w:cs="宋体"/>
          <w:color w:val="000000"/>
          <w:kern w:val="0"/>
          <w:sz w:val="32"/>
          <w:szCs w:val="32"/>
          <w:highlight w:val="none"/>
          <w:lang w:val="en-US" w:eastAsia="zh-CN"/>
        </w:rPr>
        <w:t>642.38万元</w:t>
      </w:r>
      <w:r>
        <w:rPr>
          <w:rFonts w:hint="eastAsia" w:ascii="仿宋_GB2312" w:hAnsi="华文仿宋" w:eastAsia="仿宋_GB2312" w:cs="Times New Roman"/>
          <w:b w:val="0"/>
          <w:bCs w:val="0"/>
          <w:color w:val="auto"/>
          <w:kern w:val="2"/>
          <w:sz w:val="32"/>
          <w:szCs w:val="32"/>
          <w:highlight w:val="none"/>
          <w:lang w:val="en-US" w:eastAsia="zh-CN" w:bidi="ar-SA"/>
        </w:rPr>
        <w:t>;支出包括：</w:t>
      </w:r>
      <w:r>
        <w:rPr>
          <w:rFonts w:hint="eastAsia" w:ascii="仿宋_GB2312" w:hAnsi="华文仿宋" w:eastAsia="仿宋_GB2312" w:cs="宋体"/>
          <w:color w:val="000000"/>
          <w:kern w:val="0"/>
          <w:sz w:val="32"/>
          <w:szCs w:val="32"/>
          <w:highlight w:val="none"/>
        </w:rPr>
        <w:t>社会保障和就业支出</w:t>
      </w:r>
      <w:r>
        <w:rPr>
          <w:rFonts w:hint="eastAsia" w:ascii="仿宋_GB2312" w:hAnsi="华文仿宋" w:eastAsia="仿宋_GB2312" w:cs="宋体"/>
          <w:color w:val="000000"/>
          <w:kern w:val="0"/>
          <w:sz w:val="32"/>
          <w:szCs w:val="32"/>
          <w:highlight w:val="none"/>
          <w:lang w:val="en-US" w:eastAsia="zh-CN"/>
        </w:rPr>
        <w:t>131.59万元，</w:t>
      </w:r>
      <w:r>
        <w:rPr>
          <w:rFonts w:hint="eastAsia" w:ascii="仿宋_GB2312" w:hAnsi="华文仿宋" w:eastAsia="仿宋_GB2312" w:cs="宋体"/>
          <w:color w:val="000000"/>
          <w:kern w:val="0"/>
          <w:sz w:val="32"/>
          <w:szCs w:val="32"/>
          <w:highlight w:val="none"/>
        </w:rPr>
        <w:t>卫生健康支出</w:t>
      </w:r>
      <w:r>
        <w:rPr>
          <w:rFonts w:hint="eastAsia" w:ascii="仿宋_GB2312" w:hAnsi="华文仿宋" w:eastAsia="仿宋_GB2312" w:cs="宋体"/>
          <w:color w:val="000000"/>
          <w:kern w:val="0"/>
          <w:sz w:val="32"/>
          <w:szCs w:val="32"/>
          <w:highlight w:val="none"/>
          <w:lang w:val="en-US" w:eastAsia="zh-CN"/>
        </w:rPr>
        <w:t>44.83万元，农林水支出426.85万元，</w:t>
      </w:r>
      <w:r>
        <w:rPr>
          <w:rFonts w:hint="eastAsia" w:ascii="仿宋_GB2312" w:hAnsi="华文仿宋" w:eastAsia="仿宋_GB2312" w:cs="宋体"/>
          <w:color w:val="000000"/>
          <w:kern w:val="0"/>
          <w:sz w:val="32"/>
          <w:szCs w:val="32"/>
          <w:highlight w:val="none"/>
        </w:rPr>
        <w:t>住房保障支出</w:t>
      </w:r>
      <w:r>
        <w:rPr>
          <w:rFonts w:hint="eastAsia" w:ascii="仿宋_GB2312" w:hAnsi="华文仿宋" w:eastAsia="仿宋_GB2312" w:cs="宋体"/>
          <w:color w:val="000000"/>
          <w:kern w:val="0"/>
          <w:sz w:val="32"/>
          <w:szCs w:val="32"/>
          <w:highlight w:val="none"/>
          <w:lang w:val="en-US" w:eastAsia="zh-CN"/>
        </w:rPr>
        <w:t>39.12万元</w:t>
      </w:r>
      <w:r>
        <w:rPr>
          <w:rFonts w:hint="eastAsia" w:ascii="仿宋_GB2312" w:hAnsi="华文仿宋"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二、单位收入预算情况说明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trike w:val="0"/>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收入总预算</w:t>
      </w:r>
      <w:r>
        <w:rPr>
          <w:rFonts w:hint="eastAsia" w:ascii="仿宋_GB2312" w:hAnsi="华文仿宋" w:eastAsia="仿宋_GB2312"/>
          <w:color w:val="000000"/>
          <w:sz w:val="32"/>
          <w:szCs w:val="32"/>
          <w:lang w:val="en-US" w:eastAsia="zh-CN"/>
        </w:rPr>
        <w:t>642.38</w:t>
      </w:r>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19.69</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2.97</w:t>
      </w:r>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color w:val="000000"/>
          <w:sz w:val="32"/>
          <w:szCs w:val="32"/>
          <w:lang w:val="en-US" w:eastAsia="zh-CN"/>
        </w:rPr>
        <w:t>642.38</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r>
        <w:rPr>
          <w:rFonts w:hint="eastAsia" w:ascii="仿宋_GB2312" w:hAnsi="华文仿宋" w:eastAsia="仿宋_GB2312"/>
          <w:color w:val="auto"/>
          <w:sz w:val="32"/>
          <w:szCs w:val="32"/>
          <w:lang w:val="en-US" w:eastAsia="zh-CN"/>
        </w:rPr>
        <w:t>100%,</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19.69</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2.97</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 xml:space="preserve">      2021年收入预算总体减少主要是减少卫生健康支出；减少农林水支出，减少的主要原因：一是由于单位2020年有五名退休人员去世，退休人员医疗保险减少。二是由于单位农业项目减少。</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r>
        <w:rPr>
          <w:rFonts w:hint="eastAsia" w:ascii="仿宋_GB2312" w:hAnsi="华文仿宋" w:eastAsia="仿宋_GB2312"/>
          <w:color w:val="000000"/>
          <w:sz w:val="32"/>
          <w:szCs w:val="32"/>
          <w:lang w:val="en-US" w:eastAsia="zh-CN"/>
        </w:rPr>
        <w:t>642.38</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581.66万元，占支出总预算的90.54%,</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8.71</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1.47</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60.72万元，占支出总预算的9.45%,</w:t>
      </w:r>
      <w:r>
        <w:rPr>
          <w:rFonts w:hint="eastAsia" w:ascii="仿宋_GB2312" w:hAnsi="华文仿宋" w:eastAsia="仿宋_GB2312"/>
          <w:sz w:val="32"/>
          <w:szCs w:val="32"/>
        </w:rPr>
        <w:t>同比</w:t>
      </w:r>
      <w:r>
        <w:rPr>
          <w:rFonts w:hint="eastAsia" w:ascii="仿宋_GB2312" w:hAnsi="华文仿宋" w:eastAsia="仿宋_GB2312"/>
          <w:sz w:val="32"/>
          <w:szCs w:val="32"/>
          <w:lang w:eastAsia="zh-CN"/>
        </w:rPr>
        <w:t>减少</w:t>
      </w:r>
      <w:r>
        <w:rPr>
          <w:rFonts w:hint="eastAsia" w:ascii="仿宋_GB2312" w:hAnsi="华文仿宋" w:eastAsia="仿宋_GB2312"/>
          <w:sz w:val="32"/>
          <w:szCs w:val="32"/>
          <w:lang w:val="en-US" w:eastAsia="zh-CN"/>
        </w:rPr>
        <w:t>10.98</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15.31</w:t>
      </w:r>
      <w:r>
        <w:rPr>
          <w:rFonts w:hint="eastAsia" w:ascii="仿宋_GB2312" w:hAnsi="华文仿宋" w:eastAsia="仿宋_GB2312"/>
          <w:sz w:val="32"/>
          <w:szCs w:val="32"/>
        </w:rPr>
        <w:t>%。</w:t>
      </w:r>
    </w:p>
    <w:p>
      <w:pPr>
        <w:pStyle w:val="5"/>
        <w:keepNext w:val="0"/>
        <w:keepLines w:val="0"/>
        <w:pageBreakBefore w:val="0"/>
        <w:kinsoku/>
        <w:wordWrap/>
        <w:overflowPunct/>
        <w:topLinePunct w:val="0"/>
        <w:autoSpaceDE/>
        <w:autoSpaceDN/>
        <w:bidi w:val="0"/>
        <w:spacing w:before="0" w:beforeAutospacing="0" w:after="0" w:afterAutospacing="0" w:line="240" w:lineRule="auto"/>
        <w:ind w:firstLine="640" w:firstLineChars="200"/>
        <w:jc w:val="left"/>
        <w:textAlignment w:val="auto"/>
        <w:outlineLvl w:val="9"/>
        <w:rPr>
          <w:rFonts w:hint="eastAsia" w:ascii="仿宋_GB2312" w:hAnsi="华文仿宋" w:eastAsia="仿宋_GB2312" w:cs="Times New Roman"/>
          <w:b w:val="0"/>
          <w:bCs w:val="0"/>
          <w:strike/>
          <w:color w:val="auto"/>
          <w:kern w:val="2"/>
          <w:sz w:val="32"/>
          <w:szCs w:val="32"/>
          <w:highlight w:val="none"/>
          <w:lang w:val="en-US" w:eastAsia="zh-CN" w:bidi="ar-SA"/>
        </w:rPr>
      </w:pPr>
      <w:r>
        <w:rPr>
          <w:rFonts w:hint="eastAsia" w:ascii="仿宋_GB2312" w:hAnsi="华文仿宋" w:eastAsia="仿宋_GB2312" w:cs="Times New Roman"/>
          <w:kern w:val="2"/>
          <w:sz w:val="32"/>
          <w:szCs w:val="32"/>
          <w:lang w:val="en-US" w:eastAsia="zh-CN" w:bidi="ar-SA"/>
        </w:rPr>
        <w:t>(一)按支出功能分类科目划分，共分为4类，其中：</w:t>
      </w:r>
      <w:r>
        <w:rPr>
          <w:rFonts w:hint="eastAsia" w:ascii="仿宋_GB2312" w:hAnsi="华文仿宋" w:eastAsia="仿宋_GB2312" w:cs="宋体"/>
          <w:color w:val="000000"/>
          <w:kern w:val="0"/>
          <w:sz w:val="32"/>
          <w:szCs w:val="32"/>
          <w:highlight w:val="none"/>
        </w:rPr>
        <w:t>社会保障和就业支出</w:t>
      </w:r>
      <w:r>
        <w:rPr>
          <w:rFonts w:hint="eastAsia" w:ascii="仿宋_GB2312" w:hAnsi="华文仿宋" w:eastAsia="仿宋_GB2312" w:cs="宋体"/>
          <w:color w:val="000000"/>
          <w:kern w:val="0"/>
          <w:sz w:val="32"/>
          <w:szCs w:val="32"/>
          <w:highlight w:val="none"/>
          <w:lang w:val="en-US" w:eastAsia="zh-CN"/>
        </w:rPr>
        <w:t>131.59万元，</w:t>
      </w:r>
      <w:r>
        <w:rPr>
          <w:rFonts w:hint="eastAsia" w:ascii="仿宋_GB2312" w:hAnsi="华文仿宋" w:eastAsia="仿宋_GB2312" w:cs="宋体"/>
          <w:color w:val="000000"/>
          <w:kern w:val="0"/>
          <w:sz w:val="32"/>
          <w:szCs w:val="32"/>
          <w:highlight w:val="none"/>
        </w:rPr>
        <w:t>卫生健康支出</w:t>
      </w:r>
      <w:r>
        <w:rPr>
          <w:rFonts w:hint="eastAsia" w:ascii="仿宋_GB2312" w:hAnsi="华文仿宋" w:eastAsia="仿宋_GB2312" w:cs="宋体"/>
          <w:color w:val="000000"/>
          <w:kern w:val="0"/>
          <w:sz w:val="32"/>
          <w:szCs w:val="32"/>
          <w:highlight w:val="none"/>
          <w:lang w:val="en-US" w:eastAsia="zh-CN"/>
        </w:rPr>
        <w:t>44.83万元，农林水支出426.85万元，</w:t>
      </w:r>
      <w:r>
        <w:rPr>
          <w:rFonts w:hint="eastAsia" w:ascii="仿宋_GB2312" w:hAnsi="华文仿宋" w:eastAsia="仿宋_GB2312" w:cs="宋体"/>
          <w:color w:val="000000"/>
          <w:kern w:val="0"/>
          <w:sz w:val="32"/>
          <w:szCs w:val="32"/>
          <w:highlight w:val="none"/>
        </w:rPr>
        <w:t>住房保障支出</w:t>
      </w:r>
      <w:r>
        <w:rPr>
          <w:rFonts w:hint="eastAsia" w:ascii="仿宋_GB2312" w:hAnsi="华文仿宋" w:eastAsia="仿宋_GB2312" w:cs="宋体"/>
          <w:color w:val="000000"/>
          <w:kern w:val="0"/>
          <w:sz w:val="32"/>
          <w:szCs w:val="32"/>
          <w:highlight w:val="none"/>
          <w:lang w:val="en-US" w:eastAsia="zh-CN"/>
        </w:rPr>
        <w:t>39.12万元</w:t>
      </w:r>
      <w:r>
        <w:rPr>
          <w:rFonts w:hint="eastAsia" w:ascii="仿宋_GB2312" w:hAnsi="华文仿宋" w:eastAsia="仿宋_GB2312" w:cs="Times New Roman"/>
          <w:b w:val="0"/>
          <w:bCs w:val="0"/>
          <w:color w:val="auto"/>
          <w:kern w:val="2"/>
          <w:sz w:val="32"/>
          <w:szCs w:val="32"/>
          <w:highlight w:val="none"/>
          <w:lang w:val="en-US" w:eastAsia="zh-CN" w:bidi="ar-SA"/>
        </w:rPr>
        <w:t>。</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w:t>
      </w:r>
      <w:r>
        <w:rPr>
          <w:rFonts w:hint="eastAsia" w:ascii="仿宋_GB2312" w:hAnsi="华文仿宋" w:eastAsia="仿宋_GB2312" w:cs="宋体"/>
          <w:color w:val="000000"/>
          <w:kern w:val="0"/>
          <w:sz w:val="32"/>
          <w:szCs w:val="32"/>
          <w:highlight w:val="none"/>
        </w:rPr>
        <w:t>社会保障和就业支出</w:t>
      </w:r>
      <w:r>
        <w:rPr>
          <w:rFonts w:hint="eastAsia" w:ascii="仿宋_GB2312" w:hAnsi="华文仿宋" w:eastAsia="仿宋_GB2312" w:cs="宋体"/>
          <w:color w:val="000000"/>
          <w:kern w:val="0"/>
          <w:sz w:val="32"/>
          <w:szCs w:val="32"/>
          <w:highlight w:val="none"/>
          <w:lang w:val="en-US" w:eastAsia="zh-CN"/>
        </w:rPr>
        <w:t>131.59</w:t>
      </w:r>
      <w:r>
        <w:rPr>
          <w:rFonts w:hint="eastAsia" w:ascii="仿宋_GB2312" w:hAnsi="华文仿宋" w:eastAsia="仿宋_GB2312" w:cs="Times New Roman"/>
          <w:kern w:val="2"/>
          <w:sz w:val="32"/>
          <w:szCs w:val="32"/>
          <w:lang w:val="en-US" w:eastAsia="zh-CN" w:bidi="ar-SA"/>
        </w:rPr>
        <w:t>万元；占支出总预算20.48%，同比增加1.43万元，同比增长1.09%。增加的原因是单位人员经费增加。</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w:t>
      </w:r>
      <w:r>
        <w:rPr>
          <w:rFonts w:hint="eastAsia" w:ascii="仿宋_GB2312" w:hAnsi="华文仿宋" w:eastAsia="仿宋_GB2312" w:cs="宋体"/>
          <w:color w:val="000000"/>
          <w:kern w:val="0"/>
          <w:sz w:val="32"/>
          <w:szCs w:val="32"/>
          <w:highlight w:val="none"/>
        </w:rPr>
        <w:t>卫生健康支出</w:t>
      </w:r>
      <w:r>
        <w:rPr>
          <w:rFonts w:hint="eastAsia" w:ascii="仿宋_GB2312" w:hAnsi="华文仿宋" w:eastAsia="仿宋_GB2312" w:cs="宋体"/>
          <w:color w:val="000000"/>
          <w:kern w:val="0"/>
          <w:sz w:val="32"/>
          <w:szCs w:val="32"/>
          <w:highlight w:val="none"/>
          <w:lang w:val="en-US" w:eastAsia="zh-CN"/>
        </w:rPr>
        <w:t>44.83</w:t>
      </w:r>
      <w:r>
        <w:rPr>
          <w:rFonts w:hint="eastAsia" w:ascii="仿宋_GB2312" w:hAnsi="华文仿宋" w:eastAsia="仿宋_GB2312" w:cs="Times New Roman"/>
          <w:kern w:val="2"/>
          <w:sz w:val="32"/>
          <w:szCs w:val="32"/>
          <w:lang w:val="en-US" w:eastAsia="zh-CN" w:bidi="ar-SA"/>
        </w:rPr>
        <w:t>万元，占支出总预算6.98%，同比减少7.30万元，同比下降14%。减少的原因是单位退休人员减少，退休人员医疗保险减少。</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3.</w:t>
      </w:r>
      <w:r>
        <w:rPr>
          <w:rFonts w:hint="eastAsia" w:ascii="仿宋_GB2312" w:hAnsi="华文仿宋" w:eastAsia="仿宋_GB2312" w:cs="宋体"/>
          <w:color w:val="000000"/>
          <w:kern w:val="0"/>
          <w:sz w:val="32"/>
          <w:szCs w:val="32"/>
          <w:highlight w:val="none"/>
          <w:lang w:val="en-US" w:eastAsia="zh-CN"/>
        </w:rPr>
        <w:t>农林水支出426.85</w:t>
      </w:r>
      <w:r>
        <w:rPr>
          <w:rFonts w:hint="eastAsia" w:ascii="仿宋_GB2312" w:hAnsi="华文仿宋" w:eastAsia="仿宋_GB2312" w:cs="Times New Roman"/>
          <w:kern w:val="2"/>
          <w:sz w:val="32"/>
          <w:szCs w:val="32"/>
          <w:lang w:val="en-US" w:eastAsia="zh-CN" w:bidi="ar-SA"/>
        </w:rPr>
        <w:t>万元，占支出总预算66.44%，同比减少14.47万元，同比下降3.27%。减少的原因是减少了农业项目。</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4.</w:t>
      </w:r>
      <w:r>
        <w:rPr>
          <w:rFonts w:hint="eastAsia" w:ascii="仿宋_GB2312" w:hAnsi="华文仿宋" w:eastAsia="仿宋_GB2312" w:cs="宋体"/>
          <w:color w:val="000000"/>
          <w:kern w:val="0"/>
          <w:sz w:val="32"/>
          <w:szCs w:val="32"/>
          <w:highlight w:val="none"/>
        </w:rPr>
        <w:t>住房保障支出</w:t>
      </w:r>
      <w:r>
        <w:rPr>
          <w:rFonts w:hint="eastAsia" w:ascii="仿宋_GB2312" w:hAnsi="华文仿宋" w:eastAsia="仿宋_GB2312" w:cs="宋体"/>
          <w:color w:val="000000"/>
          <w:kern w:val="0"/>
          <w:sz w:val="32"/>
          <w:szCs w:val="32"/>
          <w:highlight w:val="none"/>
          <w:lang w:val="en-US" w:eastAsia="zh-CN"/>
        </w:rPr>
        <w:t>39.12万元，占支出总预算6.09%，同比增加0.67万元，同比增长1.74%。增加的原因是人员住房公积金增长。</w:t>
      </w:r>
    </w:p>
    <w:p>
      <w:pPr>
        <w:pStyle w:val="5"/>
        <w:numPr>
          <w:ilvl w:val="0"/>
          <w:numId w:val="0"/>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（二）按支出结构分类划分，分为基本支出预算和项目支出预算。</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1.基本支出预算581.66万元，占一般公共预算拨款支出预算90.54%，同比减少8.71万元，同比下降1.47%。</w:t>
      </w:r>
    </w:p>
    <w:p>
      <w:pPr>
        <w:pStyle w:val="5"/>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2.项目支出预算60.72万元；占支出总预算9.45%，同比减少10.98万元，同比下降15.31%。</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2021年支出预算总体减少主要是减少卫生健康支出，减少农林水支出，减少的主要原因：一是由于单位2020单位有五名退休人员去世，退休人员医疗保险减少。二是由于单位农业项目减少。</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2021年单位财政拨款收支总预算642.38万元， 收入包括：一般公共预算拨款642.38万元；支出包括：</w:t>
      </w:r>
      <w:r>
        <w:rPr>
          <w:rFonts w:hint="eastAsia" w:ascii="仿宋_GB2312" w:hAnsi="华文仿宋" w:eastAsia="仿宋_GB2312" w:cs="宋体"/>
          <w:color w:val="000000"/>
          <w:kern w:val="0"/>
          <w:sz w:val="32"/>
          <w:szCs w:val="32"/>
          <w:highlight w:val="none"/>
        </w:rPr>
        <w:t>社会保障和就业支出</w:t>
      </w:r>
      <w:r>
        <w:rPr>
          <w:rFonts w:hint="eastAsia" w:ascii="仿宋_GB2312" w:hAnsi="华文仿宋" w:eastAsia="仿宋_GB2312" w:cs="宋体"/>
          <w:color w:val="000000"/>
          <w:kern w:val="0"/>
          <w:sz w:val="32"/>
          <w:szCs w:val="32"/>
          <w:highlight w:val="none"/>
          <w:lang w:val="en-US" w:eastAsia="zh-CN"/>
        </w:rPr>
        <w:t>131.59万元，</w:t>
      </w:r>
      <w:r>
        <w:rPr>
          <w:rFonts w:hint="eastAsia" w:ascii="仿宋_GB2312" w:hAnsi="华文仿宋" w:eastAsia="仿宋_GB2312" w:cs="宋体"/>
          <w:color w:val="000000"/>
          <w:kern w:val="0"/>
          <w:sz w:val="32"/>
          <w:szCs w:val="32"/>
          <w:highlight w:val="none"/>
        </w:rPr>
        <w:t>卫生健康支出</w:t>
      </w:r>
      <w:r>
        <w:rPr>
          <w:rFonts w:hint="eastAsia" w:ascii="仿宋_GB2312" w:hAnsi="华文仿宋" w:eastAsia="仿宋_GB2312" w:cs="宋体"/>
          <w:color w:val="000000"/>
          <w:kern w:val="0"/>
          <w:sz w:val="32"/>
          <w:szCs w:val="32"/>
          <w:highlight w:val="none"/>
          <w:lang w:val="en-US" w:eastAsia="zh-CN"/>
        </w:rPr>
        <w:t>44.83万元，农林水支出426.85万元，</w:t>
      </w:r>
      <w:r>
        <w:rPr>
          <w:rFonts w:hint="eastAsia" w:ascii="仿宋_GB2312" w:hAnsi="华文仿宋" w:eastAsia="仿宋_GB2312" w:cs="宋体"/>
          <w:color w:val="000000"/>
          <w:kern w:val="0"/>
          <w:sz w:val="32"/>
          <w:szCs w:val="32"/>
          <w:highlight w:val="none"/>
        </w:rPr>
        <w:t>住房保障支出</w:t>
      </w:r>
      <w:r>
        <w:rPr>
          <w:rFonts w:hint="eastAsia" w:ascii="仿宋_GB2312" w:hAnsi="华文仿宋" w:eastAsia="仿宋_GB2312" w:cs="宋体"/>
          <w:color w:val="000000"/>
          <w:kern w:val="0"/>
          <w:sz w:val="32"/>
          <w:szCs w:val="32"/>
          <w:highlight w:val="none"/>
          <w:lang w:val="en-US" w:eastAsia="zh-CN"/>
        </w:rPr>
        <w:t>39.12万元</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2021年单位一般公共预算拨款支出642.38万元，其中：基本支出581.66万元，项目支出60.72万元，具体支出预算如下：</w:t>
      </w:r>
    </w:p>
    <w:p>
      <w:pPr>
        <w:pStyle w:val="5"/>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s="宋体"/>
          <w:color w:val="000000"/>
          <w:kern w:val="0"/>
          <w:sz w:val="32"/>
          <w:szCs w:val="32"/>
          <w:highlight w:val="none"/>
          <w:lang w:eastAsia="zh-CN"/>
        </w:rPr>
        <w:t>行政单位离退休</w:t>
      </w:r>
      <w:r>
        <w:rPr>
          <w:rFonts w:hint="eastAsia" w:ascii="仿宋_GB2312" w:hAnsi="华文仿宋" w:eastAsia="仿宋_GB2312" w:cs="宋体"/>
          <w:color w:val="000000"/>
          <w:kern w:val="0"/>
          <w:sz w:val="32"/>
          <w:szCs w:val="32"/>
          <w:highlight w:val="none"/>
          <w:lang w:val="en-US" w:eastAsia="zh-CN"/>
        </w:rPr>
        <w:t>53.34</w:t>
      </w:r>
      <w:r>
        <w:rPr>
          <w:rFonts w:hint="eastAsia" w:ascii="仿宋_GB2312" w:hAnsi="华文仿宋" w:eastAsia="仿宋_GB2312" w:cs="Times New Roman"/>
          <w:kern w:val="2"/>
          <w:sz w:val="32"/>
          <w:szCs w:val="32"/>
          <w:lang w:val="en-US" w:eastAsia="zh-CN" w:bidi="ar-SA"/>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单位退休人员经费开支。</w:t>
      </w:r>
    </w:p>
    <w:p>
      <w:pPr>
        <w:pStyle w:val="5"/>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cs="宋体"/>
          <w:color w:val="000000"/>
          <w:kern w:val="0"/>
          <w:sz w:val="32"/>
          <w:szCs w:val="32"/>
          <w:highlight w:val="none"/>
          <w:lang w:eastAsia="zh-CN"/>
        </w:rPr>
        <w:t>机关事业单位基本养老保险缴费支出</w:t>
      </w:r>
      <w:r>
        <w:rPr>
          <w:rFonts w:hint="eastAsia" w:ascii="仿宋_GB2312" w:hAnsi="华文仿宋" w:eastAsia="仿宋_GB2312" w:cs="宋体"/>
          <w:color w:val="000000"/>
          <w:kern w:val="0"/>
          <w:sz w:val="32"/>
          <w:szCs w:val="32"/>
          <w:highlight w:val="none"/>
          <w:lang w:val="en-US" w:eastAsia="zh-CN"/>
        </w:rPr>
        <w:t>52.17</w:t>
      </w:r>
      <w:r>
        <w:rPr>
          <w:rFonts w:hint="eastAsia" w:ascii="仿宋_GB2312" w:hAnsi="华文仿宋" w:eastAsia="仿宋_GB2312" w:cs="Times New Roman"/>
          <w:kern w:val="2"/>
          <w:sz w:val="32"/>
          <w:szCs w:val="32"/>
          <w:lang w:val="en-US" w:eastAsia="zh-CN" w:bidi="ar-SA"/>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olor w:val="auto"/>
          <w:sz w:val="32"/>
          <w:szCs w:val="32"/>
          <w:lang w:eastAsia="zh-CN"/>
        </w:rPr>
        <w:t>单位人员养老保险支出。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（三）机关事业单位职业年金缴费支出26.08万元，</w:t>
      </w:r>
      <w:r>
        <w:rPr>
          <w:rFonts w:hint="eastAsia" w:ascii="仿宋_GB2312" w:hAnsi="华文仿宋" w:eastAsia="仿宋_GB2312" w:cs="Times New Roman"/>
          <w:b w:val="0"/>
          <w:bCs w:val="0"/>
          <w:strike w:val="0"/>
          <w:color w:val="auto"/>
          <w:kern w:val="2"/>
          <w:sz w:val="32"/>
          <w:szCs w:val="32"/>
          <w:u w:val="none"/>
          <w:lang w:val="en-US" w:eastAsia="zh-CN" w:bidi="ar-SA"/>
        </w:rPr>
        <w:t xml:space="preserve">全部为基本支出。主要用于单位人员职业年金支出。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（四）行政单位医疗30.23万元，全部为基本支出。主要用于单位人员医疗保险支出。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（五）公务员医疗补助14.60万元，全部为基本支出 。主要用于单位人员公务员医疗补助支出。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（六）行政运行（农业）366.13万元，全部为基本支出。主要用于单位正常公用经费开支及人员基本支出。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（七）一般行政管理事务（农业）17.22万元，全部为项目支出。主要用于单位物业管理支出。</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（八）科技推广与推广服务3万元，全部为项目支出。主要用于单位科技推广科工作经费开支。</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（九）执法监管1万元，全部为项目支出。主要用于单位农机质量打假工作经费开支。</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（十）行业业务管理32万元，全部为项目支出。主要用于单位农机安全及农机购机补贴工作经费开支。</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（十一）其他农业农村支出7.50万元，全部为项目支出。主要用于单位网络信息运行维护费用及第一书记费用。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val="0"/>
          <w:color w:val="auto"/>
          <w:kern w:val="2"/>
          <w:sz w:val="32"/>
          <w:szCs w:val="32"/>
          <w:u w:val="none"/>
          <w:lang w:val="en-US" w:eastAsia="zh-CN" w:bidi="ar-SA"/>
        </w:rPr>
      </w:pPr>
      <w:r>
        <w:rPr>
          <w:rFonts w:hint="eastAsia" w:ascii="仿宋_GB2312" w:hAnsi="华文仿宋" w:eastAsia="仿宋_GB2312" w:cs="Times New Roman"/>
          <w:b w:val="0"/>
          <w:bCs w:val="0"/>
          <w:strike w:val="0"/>
          <w:color w:val="auto"/>
          <w:kern w:val="2"/>
          <w:sz w:val="32"/>
          <w:szCs w:val="32"/>
          <w:u w:val="none"/>
          <w:lang w:val="en-US" w:eastAsia="zh-CN" w:bidi="ar-SA"/>
        </w:rPr>
        <w:t>（十二）住房公积金39.12万元，全部为基本支出。主要用于单位人员住房公积金开支。</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2021年单位一般公共预算基本支出581.66万元，其中：</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489.87万元，主要包括：基本工资，津贴补贴，奖金，机关事业单位基本养老保险，职业年金缴费，职工基本医疗保险，公务员医疗补助缴费，其他社会保险缴费，住房公积金，退休费，医疗费补助。</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91.80万元，主要包括：办公费，印刷费，水费，电费，邮电费，物业管理费，差旅费，维护费，会议费，培训费，公务接待费，工会经费，公务用车运行维护费，其他交通费用，其他商品和服务支出。</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4.12</w:t>
      </w:r>
      <w:r>
        <w:rPr>
          <w:rFonts w:hint="eastAsia" w:ascii="仿宋_GB2312" w:hAnsi="华文仿宋" w:eastAsia="仿宋_GB2312"/>
          <w:bCs/>
          <w:color w:val="000000"/>
          <w:sz w:val="32"/>
          <w:szCs w:val="32"/>
        </w:rPr>
        <w:t>万元，比</w:t>
      </w:r>
      <w:r>
        <w:rPr>
          <w:rFonts w:hint="eastAsia" w:ascii="仿宋_GB2312" w:hAnsi="华文仿宋" w:eastAsia="仿宋_GB2312"/>
          <w:bCs/>
          <w:color w:val="000000"/>
          <w:sz w:val="32"/>
          <w:szCs w:val="32"/>
          <w:lang w:val="en-US" w:eastAsia="zh-CN"/>
        </w:rPr>
        <w:t xml:space="preserve">2020 </w:t>
      </w:r>
      <w:r>
        <w:rPr>
          <w:rFonts w:hint="eastAsia" w:ascii="仿宋_GB2312" w:hAnsi="华文仿宋" w:eastAsia="仿宋_GB2312"/>
          <w:bCs/>
          <w:color w:val="000000"/>
          <w:sz w:val="32"/>
          <w:szCs w:val="32"/>
        </w:rPr>
        <w:t>年（上一年）预算</w:t>
      </w:r>
      <w:r>
        <w:rPr>
          <w:rFonts w:hint="eastAsia" w:ascii="仿宋_GB2312" w:hAnsi="华文仿宋" w:eastAsia="仿宋_GB2312"/>
          <w:bCs/>
          <w:color w:val="000000"/>
          <w:sz w:val="32"/>
          <w:szCs w:val="32"/>
          <w:lang w:val="en-US" w:eastAsia="zh-CN"/>
        </w:rPr>
        <w:t>4.16</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0.04</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0.96</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其中：</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。同比上年持平。</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2.12</w:t>
      </w:r>
      <w:r>
        <w:rPr>
          <w:rFonts w:hint="eastAsia" w:ascii="仿宋_GB2312" w:hAnsi="华文仿宋" w:eastAsia="仿宋_GB2312"/>
          <w:bCs/>
          <w:color w:val="000000"/>
          <w:sz w:val="32"/>
          <w:szCs w:val="32"/>
        </w:rPr>
        <w:t>万元，同比减少</w:t>
      </w:r>
      <w:r>
        <w:rPr>
          <w:rFonts w:hint="eastAsia" w:ascii="仿宋_GB2312" w:hAnsi="华文仿宋" w:eastAsia="仿宋_GB2312"/>
          <w:bCs/>
          <w:color w:val="000000"/>
          <w:sz w:val="32"/>
          <w:szCs w:val="32"/>
          <w:lang w:val="en-US" w:eastAsia="zh-CN"/>
        </w:rPr>
        <w:t>0.04</w:t>
      </w:r>
      <w:r>
        <w:rPr>
          <w:rFonts w:hint="eastAsia" w:ascii="仿宋_GB2312" w:hAnsi="华文仿宋" w:eastAsia="仿宋_GB2312"/>
          <w:bCs/>
          <w:color w:val="000000"/>
          <w:sz w:val="32"/>
          <w:szCs w:val="32"/>
        </w:rPr>
        <w:t>万元，同比下降</w:t>
      </w:r>
      <w:r>
        <w:rPr>
          <w:rFonts w:hint="eastAsia" w:ascii="仿宋_GB2312" w:hAnsi="华文仿宋" w:eastAsia="仿宋_GB2312"/>
          <w:bCs/>
          <w:color w:val="000000"/>
          <w:sz w:val="32"/>
          <w:szCs w:val="32"/>
          <w:lang w:val="en-US" w:eastAsia="zh-CN"/>
        </w:rPr>
        <w:t>1.85</w:t>
      </w:r>
      <w:r>
        <w:rPr>
          <w:rFonts w:hint="eastAsia" w:ascii="仿宋_GB2312" w:hAnsi="华文仿宋" w:eastAsia="仿宋_GB2312"/>
          <w:bCs/>
          <w:color w:val="000000"/>
          <w:sz w:val="32"/>
          <w:szCs w:val="32"/>
        </w:rPr>
        <w:t>%，减少原因：</w:t>
      </w:r>
      <w:r>
        <w:rPr>
          <w:rFonts w:hint="eastAsia" w:ascii="仿宋_GB2312" w:hAnsi="华文仿宋" w:eastAsia="仿宋_GB2312"/>
          <w:bCs/>
          <w:color w:val="000000"/>
          <w:sz w:val="32"/>
          <w:szCs w:val="32"/>
          <w:lang w:val="en-US" w:eastAsia="zh-CN"/>
        </w:rPr>
        <w:t>厉行节约</w:t>
      </w:r>
      <w:r>
        <w:rPr>
          <w:rFonts w:hint="eastAsia" w:ascii="仿宋_GB2312" w:hAnsi="华文仿宋" w:eastAsia="仿宋_GB2312"/>
          <w:bCs/>
          <w:color w:val="000000"/>
          <w:sz w:val="32"/>
          <w:szCs w:val="32"/>
          <w:lang w:eastAsia="zh-CN"/>
        </w:rPr>
        <w:t>，减少接待费用。主要用于</w:t>
      </w:r>
      <w:r>
        <w:rPr>
          <w:rFonts w:hint="eastAsia" w:ascii="仿宋_GB2312" w:hAnsi="华文仿宋" w:eastAsia="仿宋_GB2312"/>
          <w:bCs/>
          <w:color w:val="000000"/>
          <w:sz w:val="32"/>
          <w:szCs w:val="32"/>
          <w:lang w:val="en-US" w:eastAsia="zh-CN"/>
        </w:rPr>
        <w:t xml:space="preserve">单位用于开展接待工作费用。                                           </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万元，同</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。主要用于单位执法车辆运行开支。其中：</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。同上年持平。</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2.00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与上年持平</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主要用于</w:t>
      </w:r>
      <w:r>
        <w:rPr>
          <w:rFonts w:hint="eastAsia" w:ascii="仿宋_GB2312" w:hAnsi="华文仿宋" w:eastAsia="仿宋_GB2312"/>
          <w:bCs/>
          <w:color w:val="000000"/>
          <w:sz w:val="32"/>
          <w:szCs w:val="32"/>
          <w:lang w:val="en-US" w:eastAsia="zh-CN"/>
        </w:rPr>
        <w:t>单位执法车辆运行开支。</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keepNext w:val="0"/>
        <w:keepLines w:val="0"/>
        <w:pageBreakBefore w:val="0"/>
        <w:tabs>
          <w:tab w:val="center" w:pos="4475"/>
        </w:tabs>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highlight w:val="none"/>
          <w:lang w:eastAsia="zh-CN"/>
        </w:rPr>
      </w:pPr>
      <w:r>
        <w:rPr>
          <w:rFonts w:hint="eastAsia" w:ascii="仿宋_GB2312" w:hAnsi="华文仿宋" w:eastAsia="仿宋_GB2312" w:cs="Times New Roman"/>
          <w:kern w:val="2"/>
          <w:sz w:val="32"/>
          <w:szCs w:val="32"/>
          <w:highlight w:val="none"/>
          <w:lang w:val="en-US" w:eastAsia="zh-CN" w:bidi="ar-SA"/>
        </w:rPr>
        <w:t>2021年本单位无政府性基金预算支出安排。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960" w:firstLineChars="300"/>
        <w:jc w:val="both"/>
        <w:textAlignment w:val="auto"/>
        <w:rPr>
          <w:rFonts w:hint="eastAsia" w:ascii="黑体" w:hAnsi="黑体" w:eastAsia="黑体" w:cs="黑体"/>
          <w:b/>
          <w:bCs/>
          <w:color w:val="000000"/>
          <w:kern w:val="0"/>
          <w:sz w:val="32"/>
          <w:szCs w:val="32"/>
          <w:lang w:val="en-US" w:eastAsia="zh-CN" w:bidi="ar-SA"/>
        </w:rPr>
      </w:pPr>
      <w:r>
        <w:rPr>
          <w:rFonts w:hint="eastAsia" w:ascii="仿宋_GB2312" w:hAnsi="华文仿宋" w:eastAsia="仿宋_GB2312" w:cs="Times New Roman"/>
          <w:kern w:val="2"/>
          <w:sz w:val="32"/>
          <w:szCs w:val="32"/>
          <w:highlight w:val="none"/>
          <w:lang w:val="en-US" w:eastAsia="zh-CN" w:bidi="ar-SA"/>
        </w:rPr>
        <w:t>2021年本单位无国有资本经营预算支出安排</w:t>
      </w:r>
      <w:r>
        <w:rPr>
          <w:rFonts w:hint="eastAsia" w:ascii="仿宋_GB2312" w:hAnsi="华文仿宋" w:eastAsia="仿宋_GB2312"/>
          <w:sz w:val="32"/>
          <w:szCs w:val="32"/>
          <w:highlight w:val="none"/>
          <w:lang w:eastAsia="zh-CN"/>
        </w:rPr>
        <w:t>。</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2021年政府采购预算4.20万元，同比减少13.76万元，下降76.61%。</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strike w:val="0"/>
          <w:color w:val="000000"/>
          <w:kern w:val="0"/>
          <w:sz w:val="32"/>
          <w:szCs w:val="32"/>
          <w:lang w:val="en-US" w:eastAsia="zh-CN" w:bidi="ar-SA"/>
        </w:rPr>
        <w:t>（一）</w:t>
      </w:r>
      <w:r>
        <w:rPr>
          <w:rFonts w:hint="eastAsia" w:ascii="仿宋_GB2312" w:hAnsi="华文仿宋" w:eastAsia="仿宋_GB2312" w:cs="宋体"/>
          <w:bCs/>
          <w:color w:val="000000"/>
          <w:kern w:val="0"/>
          <w:sz w:val="32"/>
          <w:szCs w:val="32"/>
          <w:lang w:val="en-US" w:eastAsia="zh-CN" w:bidi="ar-SA"/>
        </w:rPr>
        <w:t>按政府采购项目类型划分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政府集中采购预算1.80万元,占政府采购预算的42.86%，同比减少0.50万元，下降21.74%。</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分散采购预算2.40万元，占政府采购预算的57.14%，同比减少13.26万元，下降84.67%。</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（二）</w:t>
      </w:r>
      <w:r>
        <w:rPr>
          <w:rFonts w:hint="eastAsia" w:ascii="仿宋_GB2312" w:hAnsi="华文仿宋" w:eastAsia="仿宋_GB2312" w:cs="Times New Roman"/>
          <w:b w:val="0"/>
          <w:bCs w:val="0"/>
          <w:color w:val="auto"/>
          <w:kern w:val="2"/>
          <w:sz w:val="32"/>
          <w:szCs w:val="32"/>
          <w:lang w:val="en-US" w:eastAsia="zh-CN" w:bidi="ar-SA"/>
        </w:rPr>
        <w:t>按政府采购资金来源划分</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通过一般公共预算安排采购支出预算4.20万元。</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before="0" w:beforeAutospacing="0" w:after="0" w:afterAutospacing="0"/>
        <w:ind w:firstLine="640" w:firstLineChars="200"/>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2021年本单位无政府购买服务预算</w:t>
      </w:r>
      <w:r>
        <w:rPr>
          <w:rFonts w:hint="eastAsia" w:ascii="仿宋_GB2312" w:hAnsi="华文仿宋" w:eastAsia="仿宋_GB2312"/>
          <w:sz w:val="32"/>
          <w:szCs w:val="32"/>
          <w:highlight w:val="none"/>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2021年单位预算其他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运行预算366.13万元，同比减少3.49万元，同比下降0.94%，主要用于单位行政运行经费。行政运行经费减少的原因:厉行节约，减少单位经费开支。</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2021年本单位实有在编车辆1辆，车辆为本部门所有，按用途划分：行政执法车辆1辆。</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sz w:val="32"/>
          <w:szCs w:val="32"/>
          <w:lang w:val="en-US" w:eastAsia="zh-CN"/>
        </w:rPr>
      </w:pPr>
      <w:r>
        <w:rPr>
          <w:rFonts w:hint="eastAsia" w:ascii="仿宋_GB2312" w:hAnsi="华文仿宋" w:eastAsia="仿宋_GB2312" w:cs="宋体"/>
          <w:bCs/>
          <w:color w:val="000000"/>
          <w:kern w:val="0"/>
          <w:sz w:val="32"/>
          <w:szCs w:val="32"/>
          <w:lang w:val="en-US" w:eastAsia="zh-CN" w:bidi="ar-SA"/>
        </w:rPr>
        <w:t>2021年本单位无预算200万元以上的项目列入绩效考核范围。</w:t>
      </w:r>
    </w:p>
    <w:p>
      <w:pPr>
        <w:pStyle w:val="5"/>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8"/>
          <w:rFonts w:hint="eastAsia" w:ascii="仿宋_GB2312" w:hAnsi="华文仿宋" w:eastAsia="仿宋_GB2312"/>
          <w:b/>
          <w:bCs/>
          <w:color w:val="000000"/>
          <w:sz w:val="32"/>
          <w:szCs w:val="32"/>
          <w:highlight w:val="none"/>
        </w:rPr>
      </w:pPr>
      <w:r>
        <w:rPr>
          <w:rStyle w:val="8"/>
          <w:rFonts w:hint="eastAsia" w:ascii="仿宋_GB2312" w:hAnsi="华文仿宋" w:eastAsia="仿宋_GB2312"/>
          <w:b/>
          <w:bCs/>
          <w:color w:val="000000"/>
          <w:sz w:val="32"/>
          <w:szCs w:val="32"/>
          <w:highlight w:val="none"/>
          <w:lang w:eastAsia="zh-CN"/>
        </w:rPr>
        <w:t>第</w:t>
      </w:r>
      <w:r>
        <w:rPr>
          <w:rStyle w:val="8"/>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华文仿宋" w:eastAsia="仿宋_GB2312"/>
          <w:color w:val="FF000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91D14"/>
    <w:multiLevelType w:val="singleLevel"/>
    <w:tmpl w:val="E1891D14"/>
    <w:lvl w:ilvl="0" w:tentative="0">
      <w:start w:val="1"/>
      <w:numFmt w:val="chineseCounting"/>
      <w:suff w:val="nothing"/>
      <w:lvlText w:val="%1、"/>
      <w:lvlJc w:val="left"/>
      <w:rPr>
        <w:rFonts w:hint="eastAsia"/>
      </w:rPr>
    </w:lvl>
  </w:abstractNum>
  <w:abstractNum w:abstractNumId="1">
    <w:nsid w:val="18AB450E"/>
    <w:multiLevelType w:val="singleLevel"/>
    <w:tmpl w:val="18AB450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0001077D"/>
    <w:rsid w:val="00002343"/>
    <w:rsid w:val="00006680"/>
    <w:rsid w:val="000100E5"/>
    <w:rsid w:val="0001015B"/>
    <w:rsid w:val="0001077D"/>
    <w:rsid w:val="000412D2"/>
    <w:rsid w:val="000416A4"/>
    <w:rsid w:val="000904A8"/>
    <w:rsid w:val="00111B63"/>
    <w:rsid w:val="001126A3"/>
    <w:rsid w:val="00117C29"/>
    <w:rsid w:val="00121B93"/>
    <w:rsid w:val="00137852"/>
    <w:rsid w:val="00137B7F"/>
    <w:rsid w:val="001A3F70"/>
    <w:rsid w:val="001B53F9"/>
    <w:rsid w:val="001E40FD"/>
    <w:rsid w:val="00252B72"/>
    <w:rsid w:val="002555D3"/>
    <w:rsid w:val="00297C6B"/>
    <w:rsid w:val="002E55D8"/>
    <w:rsid w:val="002F622C"/>
    <w:rsid w:val="00325D5D"/>
    <w:rsid w:val="003717EE"/>
    <w:rsid w:val="00383B2C"/>
    <w:rsid w:val="003A33CD"/>
    <w:rsid w:val="003D3AF9"/>
    <w:rsid w:val="003E6607"/>
    <w:rsid w:val="00417F1E"/>
    <w:rsid w:val="00417F24"/>
    <w:rsid w:val="00445110"/>
    <w:rsid w:val="00464856"/>
    <w:rsid w:val="004737A9"/>
    <w:rsid w:val="00480AA5"/>
    <w:rsid w:val="004B43E4"/>
    <w:rsid w:val="004D2AAF"/>
    <w:rsid w:val="004E2CC1"/>
    <w:rsid w:val="005244FF"/>
    <w:rsid w:val="00526EAC"/>
    <w:rsid w:val="0058243A"/>
    <w:rsid w:val="005D2365"/>
    <w:rsid w:val="005D3F56"/>
    <w:rsid w:val="00620E3A"/>
    <w:rsid w:val="00622A82"/>
    <w:rsid w:val="0067239F"/>
    <w:rsid w:val="00687A31"/>
    <w:rsid w:val="006A243D"/>
    <w:rsid w:val="007003E0"/>
    <w:rsid w:val="00786D49"/>
    <w:rsid w:val="00856512"/>
    <w:rsid w:val="008667B3"/>
    <w:rsid w:val="008A3B48"/>
    <w:rsid w:val="008A4980"/>
    <w:rsid w:val="008D4656"/>
    <w:rsid w:val="008E46D0"/>
    <w:rsid w:val="0091707A"/>
    <w:rsid w:val="009401B1"/>
    <w:rsid w:val="009521C0"/>
    <w:rsid w:val="009760B8"/>
    <w:rsid w:val="009763CC"/>
    <w:rsid w:val="009F430F"/>
    <w:rsid w:val="00A029D9"/>
    <w:rsid w:val="00A43C32"/>
    <w:rsid w:val="00A5506D"/>
    <w:rsid w:val="00AC6C00"/>
    <w:rsid w:val="00AD4267"/>
    <w:rsid w:val="00B23D1C"/>
    <w:rsid w:val="00B37970"/>
    <w:rsid w:val="00B42388"/>
    <w:rsid w:val="00B44A52"/>
    <w:rsid w:val="00B74503"/>
    <w:rsid w:val="00B817F2"/>
    <w:rsid w:val="00BD6E5D"/>
    <w:rsid w:val="00BD717D"/>
    <w:rsid w:val="00C54A5B"/>
    <w:rsid w:val="00C94A7B"/>
    <w:rsid w:val="00CA2FF8"/>
    <w:rsid w:val="00CE6613"/>
    <w:rsid w:val="00D038B5"/>
    <w:rsid w:val="00D05BBB"/>
    <w:rsid w:val="00D3715E"/>
    <w:rsid w:val="00D5248F"/>
    <w:rsid w:val="00D9105E"/>
    <w:rsid w:val="00D96E4B"/>
    <w:rsid w:val="00D96F0E"/>
    <w:rsid w:val="00E636EE"/>
    <w:rsid w:val="00EA2291"/>
    <w:rsid w:val="00EA294D"/>
    <w:rsid w:val="00EE01ED"/>
    <w:rsid w:val="00F31A6D"/>
    <w:rsid w:val="00F40F20"/>
    <w:rsid w:val="00F556D4"/>
    <w:rsid w:val="00F60C45"/>
    <w:rsid w:val="00F81EF3"/>
    <w:rsid w:val="00F9664F"/>
    <w:rsid w:val="00FB16A6"/>
    <w:rsid w:val="00FB54E6"/>
    <w:rsid w:val="00FE4815"/>
    <w:rsid w:val="01417364"/>
    <w:rsid w:val="018708C8"/>
    <w:rsid w:val="021C0E8A"/>
    <w:rsid w:val="02362F16"/>
    <w:rsid w:val="024D0578"/>
    <w:rsid w:val="03AB2D32"/>
    <w:rsid w:val="03C16630"/>
    <w:rsid w:val="06364FB4"/>
    <w:rsid w:val="065867E2"/>
    <w:rsid w:val="065A71B9"/>
    <w:rsid w:val="06835F23"/>
    <w:rsid w:val="068B18F2"/>
    <w:rsid w:val="06D76605"/>
    <w:rsid w:val="074616CA"/>
    <w:rsid w:val="07500873"/>
    <w:rsid w:val="095C69D8"/>
    <w:rsid w:val="0A3D4979"/>
    <w:rsid w:val="0ABD6239"/>
    <w:rsid w:val="0AE224A0"/>
    <w:rsid w:val="0BE35DAE"/>
    <w:rsid w:val="0C294B02"/>
    <w:rsid w:val="0D197AA8"/>
    <w:rsid w:val="0D5A0BB9"/>
    <w:rsid w:val="0D91182A"/>
    <w:rsid w:val="0DC27805"/>
    <w:rsid w:val="0DD73B5E"/>
    <w:rsid w:val="0EA8348F"/>
    <w:rsid w:val="11317328"/>
    <w:rsid w:val="12367591"/>
    <w:rsid w:val="13571B3F"/>
    <w:rsid w:val="13812575"/>
    <w:rsid w:val="13FF2AF3"/>
    <w:rsid w:val="14445BB6"/>
    <w:rsid w:val="14A877D4"/>
    <w:rsid w:val="15E253AE"/>
    <w:rsid w:val="16A13818"/>
    <w:rsid w:val="172B30B5"/>
    <w:rsid w:val="187A1758"/>
    <w:rsid w:val="1B485449"/>
    <w:rsid w:val="1BEB1F9C"/>
    <w:rsid w:val="1C6B624E"/>
    <w:rsid w:val="1E197ACB"/>
    <w:rsid w:val="20316122"/>
    <w:rsid w:val="20BB4AD9"/>
    <w:rsid w:val="20BE114C"/>
    <w:rsid w:val="22E86862"/>
    <w:rsid w:val="235D74E2"/>
    <w:rsid w:val="236D69FE"/>
    <w:rsid w:val="2370428E"/>
    <w:rsid w:val="24AC73FA"/>
    <w:rsid w:val="25934155"/>
    <w:rsid w:val="259F40C7"/>
    <w:rsid w:val="25CB794D"/>
    <w:rsid w:val="264C3C07"/>
    <w:rsid w:val="26F17381"/>
    <w:rsid w:val="26FD1E10"/>
    <w:rsid w:val="29BE4C72"/>
    <w:rsid w:val="2A514404"/>
    <w:rsid w:val="2AE85906"/>
    <w:rsid w:val="2B2C54B1"/>
    <w:rsid w:val="2C7F1085"/>
    <w:rsid w:val="2C8D55EC"/>
    <w:rsid w:val="2CC15B37"/>
    <w:rsid w:val="2D1108DE"/>
    <w:rsid w:val="2D2B1907"/>
    <w:rsid w:val="2E834CDB"/>
    <w:rsid w:val="2EE64920"/>
    <w:rsid w:val="302F4A5F"/>
    <w:rsid w:val="30F43E37"/>
    <w:rsid w:val="310B272A"/>
    <w:rsid w:val="33422F89"/>
    <w:rsid w:val="33E259DD"/>
    <w:rsid w:val="35FE43F4"/>
    <w:rsid w:val="36AC479C"/>
    <w:rsid w:val="36B1002B"/>
    <w:rsid w:val="36F509BC"/>
    <w:rsid w:val="37D63079"/>
    <w:rsid w:val="39AF555C"/>
    <w:rsid w:val="39B745CE"/>
    <w:rsid w:val="39F7553D"/>
    <w:rsid w:val="3AD13DEA"/>
    <w:rsid w:val="3DF36B8C"/>
    <w:rsid w:val="3F5E6A00"/>
    <w:rsid w:val="40A36846"/>
    <w:rsid w:val="40E14F39"/>
    <w:rsid w:val="41E359BF"/>
    <w:rsid w:val="42CE5EA9"/>
    <w:rsid w:val="432E1452"/>
    <w:rsid w:val="43C77DE7"/>
    <w:rsid w:val="44FE5675"/>
    <w:rsid w:val="45EA031E"/>
    <w:rsid w:val="45FE040C"/>
    <w:rsid w:val="47A502B6"/>
    <w:rsid w:val="47A73DC1"/>
    <w:rsid w:val="47F86B58"/>
    <w:rsid w:val="480120AA"/>
    <w:rsid w:val="48087382"/>
    <w:rsid w:val="484C2635"/>
    <w:rsid w:val="491918F8"/>
    <w:rsid w:val="493A2001"/>
    <w:rsid w:val="49696EE1"/>
    <w:rsid w:val="49757238"/>
    <w:rsid w:val="4AC84FD7"/>
    <w:rsid w:val="4ACD0CD8"/>
    <w:rsid w:val="4BDE53D7"/>
    <w:rsid w:val="4C9F13BE"/>
    <w:rsid w:val="4D4D4930"/>
    <w:rsid w:val="4EC35169"/>
    <w:rsid w:val="4F2E144C"/>
    <w:rsid w:val="4F8B01B4"/>
    <w:rsid w:val="5014753D"/>
    <w:rsid w:val="50A47D31"/>
    <w:rsid w:val="51416030"/>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E961E66"/>
    <w:rsid w:val="5ED93C89"/>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ED19EA"/>
    <w:rsid w:val="681320A7"/>
    <w:rsid w:val="68B75A10"/>
    <w:rsid w:val="69402389"/>
    <w:rsid w:val="69BF4B13"/>
    <w:rsid w:val="6AD01D50"/>
    <w:rsid w:val="6C700EB5"/>
    <w:rsid w:val="6CE942AB"/>
    <w:rsid w:val="6D2550F9"/>
    <w:rsid w:val="6F3C26AD"/>
    <w:rsid w:val="6FB945A2"/>
    <w:rsid w:val="719031FF"/>
    <w:rsid w:val="71C37E9F"/>
    <w:rsid w:val="721E022A"/>
    <w:rsid w:val="72600398"/>
    <w:rsid w:val="73C27864"/>
    <w:rsid w:val="74A6724E"/>
    <w:rsid w:val="75BB6CD3"/>
    <w:rsid w:val="760717B7"/>
    <w:rsid w:val="766F6639"/>
    <w:rsid w:val="767673A1"/>
    <w:rsid w:val="768378C7"/>
    <w:rsid w:val="770F2374"/>
    <w:rsid w:val="77360EA3"/>
    <w:rsid w:val="774552DA"/>
    <w:rsid w:val="77D80411"/>
    <w:rsid w:val="788E307A"/>
    <w:rsid w:val="793668C3"/>
    <w:rsid w:val="7A0D710E"/>
    <w:rsid w:val="7C590241"/>
    <w:rsid w:val="7D0A1957"/>
    <w:rsid w:val="7E080F3C"/>
    <w:rsid w:val="7EDA281E"/>
    <w:rsid w:val="7EED1761"/>
    <w:rsid w:val="7F0E3F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paragraph" w:customStyle="1" w:styleId="10">
    <w:name w:val="Char Char Char Char Char Char Char"/>
    <w:basedOn w:val="1"/>
    <w:qFormat/>
    <w:uiPriority w:val="0"/>
    <w:rPr>
      <w:szCs w:val="21"/>
    </w:rPr>
  </w:style>
  <w:style w:type="character" w:customStyle="1" w:styleId="11">
    <w:name w:val="页眉 Char"/>
    <w:link w:val="4"/>
    <w:qFormat/>
    <w:uiPriority w:val="0"/>
    <w:rPr>
      <w:kern w:val="2"/>
      <w:sz w:val="18"/>
      <w:szCs w:val="18"/>
    </w:rPr>
  </w:style>
  <w:style w:type="character" w:customStyle="1" w:styleId="12">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4344</Words>
  <Characters>4869</Characters>
  <Lines>29</Lines>
  <Paragraphs>8</Paragraphs>
  <TotalTime>39</TotalTime>
  <ScaleCrop>false</ScaleCrop>
  <LinksUpToDate>false</LinksUpToDate>
  <CharactersWithSpaces>4933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2015-03-02T08:19:00Z</dcterms:created>
  <dc:creator>黄然</dc:creator>
  <cp:lastModifiedBy>ちひろ</cp:lastModifiedBy>
  <cp:lastPrinted>2019-02-02T07:43:00Z</cp:lastPrinted>
  <dcterms:modified xsi:type="dcterms:W3CDTF">2023-02-28T08:04:16Z</dcterms:modified>
  <dc:title>附件3</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94AD4B6B371A44618B994D88E9FAAEE8</vt:lpwstr>
  </property>
</Properties>
</file>