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cs="ArialUnicodeMS"/>
          <w:kern w:val="0"/>
          <w:sz w:val="32"/>
          <w:szCs w:val="32"/>
        </w:rPr>
      </w:pPr>
    </w:p>
    <w:p>
      <w:pPr>
        <w:spacing w:line="360" w:lineRule="auto"/>
        <w:rPr>
          <w:rFonts w:ascii="黑体" w:eastAsia="黑体" w:cs="ArialUnicodeMS"/>
          <w:kern w:val="0"/>
          <w:sz w:val="72"/>
          <w:szCs w:val="72"/>
        </w:rPr>
      </w:pPr>
    </w:p>
    <w:p>
      <w:pPr>
        <w:spacing w:line="360" w:lineRule="auto"/>
        <w:rPr>
          <w:rFonts w:ascii="黑体" w:eastAsia="黑体" w:cs="ArialUnicodeMS"/>
          <w:kern w:val="0"/>
          <w:sz w:val="72"/>
          <w:szCs w:val="72"/>
        </w:rPr>
      </w:pPr>
    </w:p>
    <w:p>
      <w:pPr>
        <w:spacing w:line="360" w:lineRule="auto"/>
        <w:jc w:val="center"/>
        <w:rPr>
          <w:rFonts w:hint="eastAsia"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低收入居民家庭经济状况核对</w:t>
      </w:r>
    </w:p>
    <w:p>
      <w:pPr>
        <w:spacing w:line="360" w:lineRule="auto"/>
        <w:jc w:val="center"/>
        <w:rPr>
          <w:rFonts w:ascii="黑体" w:eastAsia="黑体" w:cs="ArialUnicodeMS"/>
          <w:kern w:val="0"/>
          <w:sz w:val="52"/>
          <w:szCs w:val="52"/>
        </w:rPr>
      </w:pPr>
      <w:r>
        <w:rPr>
          <w:rFonts w:hint="eastAsia" w:ascii="黑体" w:hAnsi="黑体" w:eastAsia="黑体"/>
          <w:bCs/>
          <w:color w:val="000000"/>
          <w:sz w:val="52"/>
          <w:szCs w:val="52"/>
        </w:rPr>
        <w:t>中心</w:t>
      </w:r>
      <w:r>
        <w:rPr>
          <w:rFonts w:hint="eastAsia" w:ascii="黑体" w:eastAsia="黑体"/>
          <w:kern w:val="0"/>
          <w:sz w:val="52"/>
          <w:szCs w:val="52"/>
        </w:rPr>
        <w:t>2021</w:t>
      </w:r>
      <w:r>
        <w:rPr>
          <w:rFonts w:hint="eastAsia" w:ascii="黑体" w:eastAsia="黑体" w:cs="ArialUnicodeMS"/>
          <w:kern w:val="0"/>
          <w:sz w:val="52"/>
          <w:szCs w:val="52"/>
        </w:rPr>
        <w:t>年度单位决算</w:t>
      </w:r>
    </w:p>
    <w:p>
      <w:pPr>
        <w:spacing w:line="360" w:lineRule="auto"/>
        <w:rPr>
          <w:rFonts w:ascii="ArialUnicodeMS" w:eastAsia="ArialUnicodeMS" w:cs="ArialUnicodeMS"/>
          <w:kern w:val="0"/>
          <w:sz w:val="84"/>
          <w:szCs w:val="84"/>
        </w:rPr>
      </w:pPr>
    </w:p>
    <w:p>
      <w:pPr>
        <w:spacing w:line="360" w:lineRule="auto"/>
        <w:rPr>
          <w:rFonts w:ascii="ArialUnicodeMS" w:eastAsia="ArialUnicodeMS" w:cs="ArialUnicodeMS"/>
          <w:kern w:val="0"/>
          <w:sz w:val="84"/>
          <w:szCs w:val="84"/>
        </w:rPr>
      </w:pPr>
    </w:p>
    <w:p>
      <w:pPr>
        <w:spacing w:line="360" w:lineRule="auto"/>
        <w:rPr>
          <w:rFonts w:ascii="ArialUnicodeMS" w:eastAsia="ArialUnicodeMS" w:cs="ArialUnicodeMS"/>
          <w:kern w:val="0"/>
          <w:sz w:val="84"/>
          <w:szCs w:val="84"/>
        </w:rPr>
      </w:pPr>
    </w:p>
    <w:p>
      <w:pPr>
        <w:spacing w:line="360" w:lineRule="auto"/>
        <w:rPr>
          <w:rFonts w:ascii="ArialUnicodeMS" w:eastAsia="ArialUnicodeMS" w:cs="ArialUnicodeMS"/>
          <w:kern w:val="0"/>
          <w:sz w:val="84"/>
          <w:szCs w:val="84"/>
        </w:rPr>
      </w:pPr>
    </w:p>
    <w:p>
      <w:pPr>
        <w:spacing w:line="360" w:lineRule="auto"/>
        <w:rPr>
          <w:rFonts w:ascii="ArialUnicodeMS" w:eastAsia="ArialUnicodeMS" w:cs="ArialUnicodeMS"/>
          <w:kern w:val="0"/>
          <w:sz w:val="84"/>
          <w:szCs w:val="84"/>
        </w:rPr>
      </w:pPr>
    </w:p>
    <w:p>
      <w:pPr>
        <w:spacing w:line="360" w:lineRule="auto"/>
        <w:rPr>
          <w:rFonts w:ascii="ArialUnicodeMS" w:eastAsia="ArialUnicodeMS" w:cs="ArialUnicodeMS"/>
          <w:kern w:val="0"/>
          <w:sz w:val="84"/>
          <w:szCs w:val="84"/>
        </w:rPr>
      </w:pPr>
    </w:p>
    <w:p>
      <w:pPr>
        <w:spacing w:line="360" w:lineRule="auto"/>
        <w:rPr>
          <w:rFonts w:ascii="ArialUnicodeMS" w:eastAsia="ArialUnicodeMS" w:cs="ArialUnicodeMS"/>
          <w:kern w:val="0"/>
          <w:sz w:val="84"/>
          <w:szCs w:val="84"/>
        </w:rPr>
      </w:pPr>
    </w:p>
    <w:p>
      <w:pPr>
        <w:spacing w:line="360" w:lineRule="auto"/>
        <w:jc w:val="center"/>
        <w:rPr>
          <w:rFonts w:ascii="黑体" w:eastAsia="黑体" w:cs="黑体"/>
          <w:kern w:val="0"/>
          <w:sz w:val="44"/>
          <w:szCs w:val="44"/>
        </w:rPr>
      </w:pPr>
    </w:p>
    <w:p>
      <w:pPr>
        <w:spacing w:line="360" w:lineRule="auto"/>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spacing w:line="360" w:lineRule="auto"/>
        <w:ind w:firstLine="645"/>
        <w:rPr>
          <w:rFonts w:ascii="仿宋_GB2312" w:eastAsia="仿宋_GB2312"/>
          <w:b/>
          <w:sz w:val="32"/>
          <w:szCs w:val="32"/>
        </w:rPr>
      </w:pPr>
    </w:p>
    <w:p>
      <w:pPr>
        <w:spacing w:line="360" w:lineRule="auto"/>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柳州市低收入居民家庭经济状况核对中心</w:t>
      </w:r>
      <w:r>
        <w:rPr>
          <w:rFonts w:hint="eastAsia" w:ascii="仿宋_GB2312" w:eastAsia="仿宋_GB2312"/>
          <w:b/>
          <w:sz w:val="32"/>
          <w:szCs w:val="32"/>
        </w:rPr>
        <w:t>概况</w:t>
      </w:r>
    </w:p>
    <w:p>
      <w:pPr>
        <w:spacing w:line="360" w:lineRule="auto"/>
        <w:ind w:firstLine="645"/>
        <w:rPr>
          <w:rFonts w:ascii="仿宋_GB2312" w:eastAsia="仿宋_GB2312"/>
          <w:sz w:val="32"/>
          <w:szCs w:val="32"/>
        </w:rPr>
      </w:pPr>
      <w:r>
        <w:rPr>
          <w:rFonts w:hint="eastAsia" w:ascii="仿宋_GB2312" w:eastAsia="仿宋_GB2312"/>
          <w:sz w:val="32"/>
          <w:szCs w:val="32"/>
        </w:rPr>
        <w:t>一、主要职能</w:t>
      </w:r>
    </w:p>
    <w:p>
      <w:pPr>
        <w:spacing w:line="360" w:lineRule="auto"/>
        <w:ind w:firstLine="645"/>
        <w:rPr>
          <w:rFonts w:ascii="仿宋_GB2312" w:eastAsia="仿宋_GB2312"/>
          <w:sz w:val="32"/>
          <w:szCs w:val="32"/>
        </w:rPr>
      </w:pPr>
      <w:r>
        <w:rPr>
          <w:rFonts w:hint="eastAsia" w:ascii="仿宋_GB2312" w:eastAsia="仿宋_GB2312"/>
          <w:sz w:val="32"/>
          <w:szCs w:val="32"/>
        </w:rPr>
        <w:t>二、单位机构设置情况</w:t>
      </w:r>
    </w:p>
    <w:p>
      <w:pPr>
        <w:spacing w:line="360" w:lineRule="auto"/>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柳州市低收入居民家庭经济状况核对中心</w:t>
      </w:r>
      <w:r>
        <w:rPr>
          <w:rFonts w:hint="eastAsia" w:ascii="仿宋_GB2312" w:eastAsia="仿宋_GB2312"/>
          <w:b/>
          <w:sz w:val="32"/>
          <w:szCs w:val="32"/>
        </w:rPr>
        <w:t>2021年单位决算报表</w:t>
      </w:r>
    </w:p>
    <w:p>
      <w:pPr>
        <w:spacing w:line="360" w:lineRule="auto"/>
        <w:ind w:left="645"/>
        <w:rPr>
          <w:rFonts w:ascii="仿宋_GB2312" w:eastAsia="仿宋_GB2312"/>
          <w:sz w:val="32"/>
          <w:szCs w:val="32"/>
        </w:rPr>
      </w:pPr>
      <w:r>
        <w:rPr>
          <w:rFonts w:hint="eastAsia" w:ascii="仿宋_GB2312" w:eastAsia="仿宋_GB2312"/>
          <w:sz w:val="32"/>
          <w:szCs w:val="32"/>
        </w:rPr>
        <w:t>表一：收入支出决算总表</w:t>
      </w:r>
    </w:p>
    <w:p>
      <w:pPr>
        <w:spacing w:line="360" w:lineRule="auto"/>
        <w:ind w:left="645"/>
        <w:rPr>
          <w:rFonts w:ascii="仿宋_GB2312" w:eastAsia="仿宋_GB2312"/>
          <w:sz w:val="32"/>
          <w:szCs w:val="32"/>
        </w:rPr>
      </w:pPr>
      <w:r>
        <w:rPr>
          <w:rFonts w:hint="eastAsia" w:ascii="仿宋_GB2312" w:eastAsia="仿宋_GB2312"/>
          <w:sz w:val="32"/>
          <w:szCs w:val="32"/>
        </w:rPr>
        <w:t>表二：收入决算表</w:t>
      </w:r>
    </w:p>
    <w:p>
      <w:pPr>
        <w:spacing w:line="360" w:lineRule="auto"/>
        <w:ind w:left="645"/>
        <w:rPr>
          <w:rFonts w:ascii="仿宋_GB2312" w:eastAsia="仿宋_GB2312"/>
          <w:sz w:val="32"/>
          <w:szCs w:val="32"/>
        </w:rPr>
      </w:pPr>
      <w:r>
        <w:rPr>
          <w:rFonts w:hint="eastAsia" w:ascii="仿宋_GB2312" w:eastAsia="仿宋_GB2312"/>
          <w:sz w:val="32"/>
          <w:szCs w:val="32"/>
        </w:rPr>
        <w:t>表三：支出决算表</w:t>
      </w:r>
    </w:p>
    <w:p>
      <w:pPr>
        <w:spacing w:line="360" w:lineRule="auto"/>
        <w:ind w:left="645"/>
        <w:rPr>
          <w:rFonts w:ascii="仿宋_GB2312" w:eastAsia="仿宋_GB2312"/>
          <w:sz w:val="32"/>
          <w:szCs w:val="32"/>
        </w:rPr>
      </w:pPr>
      <w:r>
        <w:rPr>
          <w:rFonts w:hint="eastAsia" w:ascii="仿宋_GB2312" w:eastAsia="仿宋_GB2312"/>
          <w:sz w:val="32"/>
          <w:szCs w:val="32"/>
        </w:rPr>
        <w:t>表四：财政拨款收入支出决算总表</w:t>
      </w:r>
    </w:p>
    <w:p>
      <w:pPr>
        <w:spacing w:line="360" w:lineRule="auto"/>
        <w:ind w:left="645"/>
        <w:rPr>
          <w:rFonts w:ascii="仿宋_GB2312" w:eastAsia="仿宋_GB2312"/>
          <w:sz w:val="32"/>
          <w:szCs w:val="32"/>
        </w:rPr>
      </w:pPr>
      <w:r>
        <w:rPr>
          <w:rFonts w:hint="eastAsia" w:ascii="仿宋_GB2312" w:eastAsia="仿宋_GB2312"/>
          <w:sz w:val="32"/>
          <w:szCs w:val="32"/>
        </w:rPr>
        <w:t>表五：一般公共预算财政拨款支出决算表</w:t>
      </w:r>
    </w:p>
    <w:p>
      <w:pPr>
        <w:spacing w:line="360" w:lineRule="auto"/>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spacing w:line="360" w:lineRule="auto"/>
        <w:ind w:left="645"/>
        <w:rPr>
          <w:rFonts w:ascii="仿宋_GB2312" w:eastAsia="仿宋_GB2312"/>
          <w:sz w:val="32"/>
          <w:szCs w:val="32"/>
        </w:rPr>
      </w:pPr>
      <w:r>
        <w:rPr>
          <w:rFonts w:hint="eastAsia" w:ascii="仿宋_GB2312" w:eastAsia="仿宋_GB2312"/>
          <w:sz w:val="32"/>
          <w:szCs w:val="32"/>
        </w:rPr>
        <w:t>表七：一般公共预算财政拨款安排的“三公”经费支出决算表</w:t>
      </w:r>
    </w:p>
    <w:p>
      <w:pPr>
        <w:spacing w:line="360" w:lineRule="auto"/>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spacing w:line="360" w:lineRule="auto"/>
        <w:ind w:firstLine="645"/>
        <w:rPr>
          <w:rFonts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p>
    <w:p>
      <w:pPr>
        <w:spacing w:line="360" w:lineRule="auto"/>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柳州市低收入居民家庭经济状况核对中心</w:t>
      </w:r>
      <w:r>
        <w:rPr>
          <w:rFonts w:hint="eastAsia" w:ascii="仿宋_GB2312" w:eastAsia="仿宋_GB2312"/>
          <w:b/>
          <w:sz w:val="32"/>
          <w:szCs w:val="32"/>
        </w:rPr>
        <w:t>2021年度单位决算情况说明</w:t>
      </w:r>
    </w:p>
    <w:p>
      <w:pPr>
        <w:autoSpaceDE w:val="0"/>
        <w:autoSpaceDN w:val="0"/>
        <w:adjustRightInd w:val="0"/>
        <w:spacing w:line="360" w:lineRule="auto"/>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 xml:space="preserve">2021 </w:t>
      </w:r>
      <w:r>
        <w:rPr>
          <w:rFonts w:hint="eastAsia" w:ascii="仿宋_GB2312" w:eastAsia="仿宋_GB2312" w:cs="仿宋_GB2312"/>
          <w:kern w:val="0"/>
          <w:sz w:val="32"/>
          <w:szCs w:val="32"/>
        </w:rPr>
        <w:t>年度收入支出决算总体情况。</w:t>
      </w:r>
    </w:p>
    <w:p>
      <w:pPr>
        <w:autoSpaceDE w:val="0"/>
        <w:autoSpaceDN w:val="0"/>
        <w:adjustRightInd w:val="0"/>
        <w:spacing w:line="360" w:lineRule="auto"/>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 xml:space="preserve">2021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spacing w:line="360" w:lineRule="auto"/>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三、2021年度一般公共预算财政拨款基本支出决算情况说明。</w:t>
      </w:r>
    </w:p>
    <w:p>
      <w:pPr>
        <w:autoSpaceDE w:val="0"/>
        <w:autoSpaceDN w:val="0"/>
        <w:adjustRightInd w:val="0"/>
        <w:spacing w:line="360" w:lineRule="auto"/>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 xml:space="preserve">2021 </w:t>
      </w:r>
      <w:r>
        <w:rPr>
          <w:rFonts w:hint="eastAsia" w:ascii="仿宋_GB2312" w:eastAsia="仿宋_GB2312" w:cs="仿宋_GB2312"/>
          <w:kern w:val="0"/>
          <w:sz w:val="32"/>
          <w:szCs w:val="32"/>
        </w:rPr>
        <w:t>年度政府性基金支出决算情况。</w:t>
      </w:r>
    </w:p>
    <w:p>
      <w:pPr>
        <w:autoSpaceDE w:val="0"/>
        <w:autoSpaceDN w:val="0"/>
        <w:adjustRightInd w:val="0"/>
        <w:spacing w:line="360" w:lineRule="auto"/>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五、2021年度国有资本经营预算支出决算情况</w:t>
      </w:r>
    </w:p>
    <w:p>
      <w:pPr>
        <w:autoSpaceDE w:val="0"/>
        <w:autoSpaceDN w:val="0"/>
        <w:adjustRightInd w:val="0"/>
        <w:spacing w:line="360" w:lineRule="auto"/>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spacing w:line="360" w:lineRule="auto"/>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spacing w:line="360" w:lineRule="auto"/>
        <w:ind w:firstLine="645"/>
        <w:rPr>
          <w:rFonts w:ascii="仿宋_GB2312" w:eastAsia="仿宋_GB2312"/>
          <w:b/>
          <w:sz w:val="32"/>
          <w:szCs w:val="32"/>
        </w:rPr>
      </w:pPr>
      <w:r>
        <w:rPr>
          <w:rFonts w:hint="eastAsia" w:ascii="仿宋_GB2312" w:eastAsia="仿宋_GB2312"/>
          <w:b/>
          <w:sz w:val="32"/>
          <w:szCs w:val="32"/>
        </w:rPr>
        <w:t>第四部分：名词解释</w:t>
      </w:r>
    </w:p>
    <w:p>
      <w:pPr>
        <w:spacing w:line="360" w:lineRule="auto"/>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柳州市低收入居民家庭经济状况核对中心</w:t>
      </w:r>
      <w:r>
        <w:rPr>
          <w:rFonts w:hint="eastAsia" w:ascii="仿宋_GB2312" w:eastAsia="仿宋_GB2312"/>
          <w:b/>
          <w:sz w:val="32"/>
          <w:szCs w:val="32"/>
        </w:rPr>
        <w:t>概况</w:t>
      </w:r>
    </w:p>
    <w:p>
      <w:pPr>
        <w:spacing w:line="360" w:lineRule="auto"/>
        <w:ind w:firstLine="646"/>
        <w:rPr>
          <w:rFonts w:ascii="仿宋_GB2312" w:eastAsia="仿宋_GB2312"/>
          <w:sz w:val="32"/>
          <w:szCs w:val="32"/>
        </w:rPr>
      </w:pPr>
      <w:r>
        <w:rPr>
          <w:rFonts w:hint="eastAsia" w:ascii="仿宋_GB2312" w:eastAsia="仿宋_GB2312"/>
          <w:sz w:val="32"/>
          <w:szCs w:val="32"/>
        </w:rPr>
        <w:t>一、主要职能</w:t>
      </w:r>
    </w:p>
    <w:p>
      <w:pPr>
        <w:spacing w:line="360" w:lineRule="auto"/>
        <w:ind w:firstLine="646"/>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负责全市城乡低收入居民家庭经济状况核对的日常管理工作，汇总全市核对工作进展情况，并对相关数据、资料进行分析、上报。</w:t>
      </w:r>
    </w:p>
    <w:p>
      <w:pPr>
        <w:spacing w:line="360" w:lineRule="auto"/>
        <w:ind w:firstLine="646"/>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负责全市城乡低收入居民家庭经济状况核对办法、核对流程和相关规章制度的草拟工作。</w:t>
      </w:r>
    </w:p>
    <w:p>
      <w:pPr>
        <w:spacing w:line="360" w:lineRule="auto"/>
        <w:ind w:firstLine="646"/>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负责指导全市城乡低收入居民家庭经济状况核对系统的建设、信息复核审核;组织开展全市城乡低收入居民家庭经济状况核对工作的理论研究、经验交流和业务培训。</w:t>
      </w:r>
    </w:p>
    <w:p>
      <w:pPr>
        <w:spacing w:line="360" w:lineRule="auto"/>
        <w:ind w:firstLine="646"/>
        <w:rPr>
          <w:rFonts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协调、指导县(区)城乡低收入居民家庭经济状况核对工作，完成市本级承担的核对业务工作。</w:t>
      </w:r>
    </w:p>
    <w:p>
      <w:pPr>
        <w:spacing w:line="360" w:lineRule="auto"/>
        <w:ind w:firstLine="646"/>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加强城乡低收入居民家庭经济状况核对政策宣传，并做好核对相关信息保密和信访接待工作。</w:t>
      </w:r>
    </w:p>
    <w:p>
      <w:pPr>
        <w:spacing w:line="360" w:lineRule="auto"/>
        <w:ind w:firstLine="646"/>
        <w:rPr>
          <w:rFonts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协助做好全市社会组织管理、培育发展工作。</w:t>
      </w:r>
    </w:p>
    <w:p>
      <w:pPr>
        <w:spacing w:line="360" w:lineRule="auto"/>
        <w:ind w:firstLine="646"/>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协助承办柳州市社会组织党委具体事务。</w:t>
      </w:r>
    </w:p>
    <w:p>
      <w:pPr>
        <w:spacing w:line="360" w:lineRule="auto"/>
        <w:ind w:firstLine="646"/>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协助推进社会工作专业发展。</w:t>
      </w:r>
    </w:p>
    <w:p>
      <w:pPr>
        <w:spacing w:line="360" w:lineRule="auto"/>
        <w:ind w:firstLine="646"/>
        <w:rPr>
          <w:rFonts w:ascii="仿宋_GB2312" w:eastAsia="仿宋_GB2312"/>
          <w:sz w:val="32"/>
          <w:szCs w:val="32"/>
        </w:rPr>
      </w:pPr>
      <w:r>
        <w:rPr>
          <w:rFonts w:hint="eastAsia" w:ascii="仿宋_GB2312" w:eastAsia="仿宋_GB2312"/>
          <w:sz w:val="32"/>
          <w:szCs w:val="32"/>
        </w:rPr>
        <w:t>（九）</w:t>
      </w:r>
      <w:r>
        <w:rPr>
          <w:rFonts w:ascii="仿宋_GB2312" w:eastAsia="仿宋_GB2312"/>
          <w:sz w:val="32"/>
          <w:szCs w:val="32"/>
        </w:rPr>
        <w:t>完成主管部门交办的其他任务。</w:t>
      </w:r>
    </w:p>
    <w:p>
      <w:pPr>
        <w:spacing w:line="360" w:lineRule="auto"/>
        <w:ind w:firstLine="646"/>
        <w:rPr>
          <w:rFonts w:ascii="仿宋_GB2312" w:eastAsia="仿宋_GB2312"/>
          <w:sz w:val="32"/>
          <w:szCs w:val="32"/>
        </w:rPr>
      </w:pPr>
      <w:r>
        <w:rPr>
          <w:rFonts w:hint="eastAsia" w:ascii="仿宋_GB2312" w:eastAsia="仿宋_GB2312"/>
          <w:sz w:val="32"/>
          <w:szCs w:val="32"/>
        </w:rPr>
        <w:t>二、单位决算单位构成</w:t>
      </w:r>
    </w:p>
    <w:p>
      <w:pPr>
        <w:spacing w:line="360" w:lineRule="auto"/>
        <w:ind w:firstLine="645"/>
        <w:rPr>
          <w:rFonts w:ascii="仿宋_GB2312" w:eastAsia="仿宋_GB2312"/>
          <w:sz w:val="32"/>
          <w:szCs w:val="32"/>
        </w:rPr>
      </w:pPr>
      <w:r>
        <w:rPr>
          <w:rFonts w:hint="eastAsia" w:ascii="仿宋_GB2312" w:eastAsia="仿宋_GB2312"/>
          <w:sz w:val="32"/>
          <w:szCs w:val="32"/>
        </w:rPr>
        <w:t>柳州市低收入居民家庭经济状况核对中心无下属单位。</w:t>
      </w:r>
    </w:p>
    <w:p>
      <w:pPr>
        <w:spacing w:line="360" w:lineRule="auto"/>
        <w:ind w:firstLine="645"/>
        <w:rPr>
          <w:rFonts w:ascii="仿宋_GB2312" w:eastAsia="仿宋_GB2312"/>
          <w:sz w:val="32"/>
          <w:szCs w:val="32"/>
        </w:rPr>
      </w:pPr>
    </w:p>
    <w:p>
      <w:pPr>
        <w:spacing w:line="360" w:lineRule="auto"/>
        <w:jc w:val="center"/>
      </w:pPr>
    </w:p>
    <w:p>
      <w:pPr>
        <w:spacing w:line="360" w:lineRule="auto"/>
        <w:jc w:val="both"/>
      </w:pPr>
    </w:p>
    <w:p>
      <w:pPr>
        <w:spacing w:line="360" w:lineRule="auto"/>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柳州市低收入居民家庭经济状况核对中心</w:t>
      </w:r>
      <w:r>
        <w:rPr>
          <w:rFonts w:hint="eastAsia" w:ascii="仿宋_GB2312" w:eastAsia="仿宋_GB2312"/>
          <w:b/>
          <w:sz w:val="32"/>
          <w:szCs w:val="32"/>
        </w:rPr>
        <w:t>2021年单位决算报表</w:t>
      </w:r>
    </w:p>
    <w:p>
      <w:pPr>
        <w:spacing w:line="360" w:lineRule="auto"/>
        <w:ind w:firstLine="640"/>
        <w:rPr>
          <w:rFonts w:ascii="黑体" w:hAnsi="黑体" w:eastAsia="黑体"/>
          <w:sz w:val="32"/>
          <w:szCs w:val="32"/>
        </w:rPr>
      </w:pPr>
      <w:r>
        <w:rPr>
          <w:rFonts w:hint="eastAsia" w:ascii="黑体" w:hAnsi="黑体" w:eastAsia="黑体"/>
          <w:sz w:val="32"/>
          <w:szCs w:val="32"/>
        </w:rPr>
        <w:t>此部分另附表格，详见附件：</w:t>
      </w:r>
      <w:r>
        <w:rPr>
          <w:rFonts w:hint="eastAsia" w:ascii="黑体" w:hAnsi="黑体" w:eastAsia="黑体"/>
          <w:b w:val="0"/>
          <w:bCs/>
          <w:color w:val="000000"/>
          <w:sz w:val="32"/>
          <w:szCs w:val="32"/>
        </w:rPr>
        <w:t>柳州市低收入居民家庭经济状况核对中心</w:t>
      </w:r>
      <w:r>
        <w:rPr>
          <w:rFonts w:hint="eastAsia" w:ascii="黑体" w:hAnsi="黑体" w:eastAsia="黑体"/>
          <w:sz w:val="32"/>
          <w:szCs w:val="32"/>
        </w:rPr>
        <w:t>2021年度</w:t>
      </w:r>
      <w:r>
        <w:rPr>
          <w:rFonts w:hint="eastAsia" w:ascii="黑体" w:hAnsi="黑体" w:eastAsia="黑体"/>
          <w:sz w:val="32"/>
          <w:szCs w:val="32"/>
          <w:lang w:eastAsia="zh-CN"/>
        </w:rPr>
        <w:t>单位决算</w:t>
      </w:r>
      <w:r>
        <w:rPr>
          <w:rFonts w:hint="eastAsia" w:ascii="黑体" w:hAnsi="黑体" w:eastAsia="黑体"/>
          <w:sz w:val="32"/>
          <w:szCs w:val="32"/>
        </w:rPr>
        <w:t>公开表</w:t>
      </w:r>
    </w:p>
    <w:p>
      <w:pPr>
        <w:spacing w:line="360" w:lineRule="auto"/>
      </w:pPr>
    </w:p>
    <w:p>
      <w:pPr>
        <w:spacing w:line="360" w:lineRule="auto"/>
      </w:pPr>
    </w:p>
    <w:p>
      <w:pPr>
        <w:spacing w:line="360" w:lineRule="auto"/>
      </w:pPr>
    </w:p>
    <w:p>
      <w:pPr>
        <w:spacing w:line="360" w:lineRule="auto"/>
        <w:sectPr>
          <w:headerReference r:id="rId3" w:type="default"/>
          <w:footerReference r:id="rId4" w:type="default"/>
          <w:footerReference r:id="rId5" w:type="even"/>
          <w:pgSz w:w="11906" w:h="16838"/>
          <w:pgMar w:top="1440" w:right="1489" w:bottom="1440" w:left="1377" w:header="851" w:footer="992" w:gutter="0"/>
          <w:pgNumType w:fmt="numberInDash"/>
          <w:cols w:space="720" w:num="1"/>
          <w:docGrid w:type="lines" w:linePitch="312" w:charSpace="0"/>
        </w:sectPr>
      </w:pPr>
    </w:p>
    <w:p>
      <w:pPr>
        <w:spacing w:line="360" w:lineRule="auto"/>
        <w:jc w:val="center"/>
        <w:rPr>
          <w:rFonts w:ascii="方正小标宋简体" w:hAnsi="宋体" w:eastAsia="方正小标宋简体" w:cs="宋体"/>
          <w:kern w:val="0"/>
          <w:sz w:val="36"/>
          <w:szCs w:val="36"/>
        </w:rPr>
      </w:pPr>
    </w:p>
    <w:p>
      <w:pPr>
        <w:spacing w:line="360" w:lineRule="auto"/>
        <w:rPr>
          <w:rFonts w:ascii="仿宋_GB2312" w:eastAsia="仿宋_GB2312"/>
          <w:b/>
          <w:sz w:val="32"/>
          <w:szCs w:val="32"/>
        </w:rPr>
      </w:pPr>
      <w:r>
        <w:rPr>
          <w:rFonts w:hint="eastAsia" w:ascii="仿宋_GB2312" w:eastAsia="仿宋_GB2312"/>
          <w:b/>
          <w:sz w:val="32"/>
          <w:szCs w:val="32"/>
        </w:rPr>
        <w:t>第三部分：柳州市低收入居民家庭经济状况核对中心2021年度单位决算情况说明</w:t>
      </w:r>
    </w:p>
    <w:p>
      <w:pPr>
        <w:autoSpaceDE w:val="0"/>
        <w:autoSpaceDN w:val="0"/>
        <w:adjustRightInd w:val="0"/>
        <w:spacing w:line="360" w:lineRule="auto"/>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2021</w:t>
      </w:r>
      <w:r>
        <w:rPr>
          <w:rFonts w:hint="eastAsia" w:ascii="黑体" w:hAnsi="黑体" w:eastAsia="黑体" w:cs="仿宋_GB2312"/>
          <w:kern w:val="0"/>
          <w:sz w:val="32"/>
          <w:szCs w:val="32"/>
        </w:rPr>
        <w:t>年度收入支出决算总体情况</w:t>
      </w:r>
    </w:p>
    <w:p>
      <w:pPr>
        <w:autoSpaceDE w:val="0"/>
        <w:autoSpaceDN w:val="0"/>
        <w:adjustRightInd w:val="0"/>
        <w:spacing w:line="360" w:lineRule="auto"/>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（一）本单位2021年度总收入</w:t>
      </w:r>
      <w:r>
        <w:rPr>
          <w:rFonts w:hint="eastAsia" w:ascii="仿宋_GB2312" w:eastAsia="仿宋_GB2312"/>
          <w:kern w:val="0"/>
          <w:sz w:val="32"/>
          <w:szCs w:val="32"/>
        </w:rPr>
        <w:t>240.24</w:t>
      </w:r>
      <w:r>
        <w:rPr>
          <w:rFonts w:hint="eastAsia" w:ascii="仿宋_GB2312" w:eastAsia="仿宋_GB2312" w:cs="仿宋_GB2312"/>
          <w:kern w:val="0"/>
          <w:sz w:val="32"/>
          <w:szCs w:val="32"/>
        </w:rPr>
        <w:t>万元，其中本年收入</w:t>
      </w:r>
      <w:r>
        <w:rPr>
          <w:rFonts w:hint="eastAsia" w:ascii="仿宋_GB2312" w:eastAsia="仿宋_GB2312"/>
          <w:kern w:val="0"/>
          <w:sz w:val="32"/>
          <w:szCs w:val="32"/>
        </w:rPr>
        <w:t>237.15</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较2020年度决算数减少7.74万元，下降3.12%。</w:t>
      </w:r>
      <w:r>
        <w:rPr>
          <w:rFonts w:hint="eastAsia" w:ascii="仿宋_GB2312" w:eastAsia="仿宋_GB2312" w:cs="仿宋_GB2312"/>
          <w:kern w:val="0"/>
          <w:sz w:val="32"/>
          <w:szCs w:val="32"/>
        </w:rPr>
        <w:t>收入具体情况如下。</w:t>
      </w:r>
    </w:p>
    <w:p>
      <w:pPr>
        <w:autoSpaceDE w:val="0"/>
        <w:autoSpaceDN w:val="0"/>
        <w:adjustRightInd w:val="0"/>
        <w:spacing w:line="360" w:lineRule="auto"/>
        <w:ind w:firstLine="627" w:firstLineChars="196"/>
        <w:jc w:val="left"/>
        <w:rPr>
          <w:rFonts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kern w:val="0"/>
          <w:sz w:val="32"/>
          <w:szCs w:val="32"/>
        </w:rPr>
        <w:t>237.14</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较2020年度决算数增加17.53万元，增长7.98%，主要原因是：2021年新招录人员一名，工资基数和社保基数调整等。</w:t>
      </w:r>
    </w:p>
    <w:p>
      <w:pPr>
        <w:autoSpaceDE w:val="0"/>
        <w:autoSpaceDN w:val="0"/>
        <w:adjustRightInd w:val="0"/>
        <w:spacing w:line="360" w:lineRule="auto"/>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2.政府性基金预算财政拨款收入</w:t>
      </w:r>
      <w:r>
        <w:rPr>
          <w:rFonts w:hint="eastAsia" w:ascii="仿宋_GB2312" w:eastAsia="仿宋_GB2312"/>
          <w:kern w:val="0"/>
          <w:sz w:val="32"/>
          <w:szCs w:val="32"/>
        </w:rPr>
        <w:t>0</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较2020年度决算数增加0万元，增长0%。</w:t>
      </w:r>
    </w:p>
    <w:p>
      <w:pPr>
        <w:autoSpaceDE w:val="0"/>
        <w:autoSpaceDN w:val="0"/>
        <w:adjustRightInd w:val="0"/>
        <w:spacing w:line="360" w:lineRule="auto"/>
        <w:ind w:firstLine="627" w:firstLineChars="196"/>
        <w:jc w:val="left"/>
        <w:rPr>
          <w:rFonts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kern w:val="0"/>
          <w:sz w:val="32"/>
          <w:szCs w:val="32"/>
        </w:rPr>
        <w:t>0</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较2020年度决算数增加0元，增长0%。</w:t>
      </w:r>
    </w:p>
    <w:p>
      <w:pPr>
        <w:autoSpaceDE w:val="0"/>
        <w:autoSpaceDN w:val="0"/>
        <w:adjustRightInd w:val="0"/>
        <w:spacing w:line="360" w:lineRule="auto"/>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4.事业收入</w:t>
      </w:r>
      <w:r>
        <w:rPr>
          <w:rFonts w:hint="eastAsia" w:ascii="仿宋_GB2312" w:eastAsia="仿宋_GB2312"/>
          <w:kern w:val="0"/>
          <w:sz w:val="32"/>
          <w:szCs w:val="32"/>
        </w:rPr>
        <w:t>0</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较2020年度决算数增加0万元，增长0%。</w:t>
      </w:r>
    </w:p>
    <w:p>
      <w:pPr>
        <w:autoSpaceDE w:val="0"/>
        <w:autoSpaceDN w:val="0"/>
        <w:adjustRightInd w:val="0"/>
        <w:spacing w:line="360" w:lineRule="auto"/>
        <w:ind w:firstLine="627" w:firstLineChars="196"/>
        <w:jc w:val="left"/>
        <w:rPr>
          <w:rFonts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kern w:val="0"/>
          <w:sz w:val="32"/>
          <w:szCs w:val="32"/>
        </w:rPr>
        <w:t>0</w:t>
      </w:r>
      <w:r>
        <w:rPr>
          <w:rFonts w:hint="eastAsia" w:ascii="仿宋_GB2312" w:eastAsia="仿宋_GB2312" w:cs="仿宋_GB2312"/>
          <w:kern w:val="0"/>
          <w:sz w:val="32"/>
          <w:szCs w:val="32"/>
        </w:rPr>
        <w:t>万元，为事业单位在业务活动之外开展非独立核算经营活动取得的收入。</w:t>
      </w:r>
      <w:r>
        <w:rPr>
          <w:rFonts w:hint="eastAsia" w:ascii="仿宋_GB2312" w:hAnsi="黑体" w:eastAsia="仿宋_GB2312" w:cs="仿宋_GB2312"/>
          <w:kern w:val="0"/>
          <w:sz w:val="32"/>
          <w:szCs w:val="32"/>
        </w:rPr>
        <w:t>较2020年度决算数增加0万元，增长0%。</w:t>
      </w:r>
    </w:p>
    <w:p>
      <w:pPr>
        <w:autoSpaceDE w:val="0"/>
        <w:autoSpaceDN w:val="0"/>
        <w:adjustRightInd w:val="0"/>
        <w:spacing w:line="360" w:lineRule="auto"/>
        <w:ind w:firstLine="627" w:firstLineChars="196"/>
        <w:jc w:val="left"/>
        <w:rPr>
          <w:rFonts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kern w:val="0"/>
          <w:sz w:val="32"/>
          <w:szCs w:val="32"/>
        </w:rPr>
        <w:t>0.01</w:t>
      </w:r>
      <w:r>
        <w:rPr>
          <w:rFonts w:hint="eastAsia" w:ascii="仿宋_GB2312" w:eastAsia="仿宋_GB2312" w:cs="仿宋_GB2312"/>
          <w:kern w:val="0"/>
          <w:sz w:val="32"/>
          <w:szCs w:val="32"/>
        </w:rPr>
        <w:t>万元，为部门单位在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val="0"/>
        <w:autoSpaceDN w:val="0"/>
        <w:adjustRightInd w:val="0"/>
        <w:spacing w:line="360" w:lineRule="auto"/>
        <w:jc w:val="left"/>
        <w:rPr>
          <w:rFonts w:ascii="仿宋_GB2312" w:eastAsia="仿宋_GB2312" w:cs="仿宋_GB2312"/>
          <w:kern w:val="0"/>
          <w:sz w:val="32"/>
          <w:szCs w:val="32"/>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较2020年度决算数减少2.12万元，下降99.53%，主要原因是：银行存款利息等其他收入减少。</w:t>
      </w:r>
    </w:p>
    <w:p>
      <w:pPr>
        <w:autoSpaceDE w:val="0"/>
        <w:autoSpaceDN w:val="0"/>
        <w:adjustRightInd w:val="0"/>
        <w:spacing w:line="360" w:lineRule="auto"/>
        <w:ind w:firstLine="627" w:firstLineChars="196"/>
        <w:jc w:val="left"/>
        <w:rPr>
          <w:rFonts w:ascii="仿宋_GB2312" w:eastAsia="仿宋_GB2312" w:cs="仿宋_GB2312"/>
          <w:kern w:val="0"/>
          <w:sz w:val="32"/>
          <w:szCs w:val="32"/>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kern w:val="0"/>
          <w:sz w:val="32"/>
          <w:szCs w:val="32"/>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不能保证其支出的情况下，使用以前年度积累的非财政拨款结余弥补本年度收支缺口的资金。</w:t>
      </w:r>
      <w:r>
        <w:rPr>
          <w:rFonts w:hint="eastAsia" w:ascii="仿宋_GB2312" w:hAnsi="黑体" w:eastAsia="仿宋_GB2312" w:cs="仿宋_GB2312"/>
          <w:kern w:val="0"/>
          <w:sz w:val="32"/>
          <w:szCs w:val="32"/>
        </w:rPr>
        <w:t>较2020年度决算数增加0万元，增长0%。</w:t>
      </w:r>
    </w:p>
    <w:p>
      <w:pPr>
        <w:autoSpaceDE w:val="0"/>
        <w:autoSpaceDN w:val="0"/>
        <w:adjustRightInd w:val="0"/>
        <w:spacing w:line="360" w:lineRule="auto"/>
        <w:ind w:firstLine="627" w:firstLineChars="196"/>
        <w:jc w:val="left"/>
        <w:rPr>
          <w:rFonts w:ascii="仿宋_GB2312" w:eastAsia="仿宋_GB2312" w:cs="仿宋_GB2312"/>
          <w:kern w:val="0"/>
          <w:sz w:val="32"/>
          <w:szCs w:val="32"/>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kern w:val="0"/>
          <w:sz w:val="32"/>
          <w:szCs w:val="32"/>
        </w:rPr>
        <w:t>3.09</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较2020年度决算数减少23.15万元，增长下降88.22%，主要原因是：2020年度支付2019年人员经费结余。</w:t>
      </w:r>
    </w:p>
    <w:p>
      <w:pPr>
        <w:autoSpaceDE w:val="0"/>
        <w:autoSpaceDN w:val="0"/>
        <w:adjustRightInd w:val="0"/>
        <w:spacing w:line="360" w:lineRule="auto"/>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（二）本单位2021年度总支出</w:t>
      </w:r>
      <w:r>
        <w:rPr>
          <w:rFonts w:hint="eastAsia" w:ascii="仿宋_GB2312" w:eastAsia="仿宋_GB2312"/>
          <w:kern w:val="0"/>
          <w:sz w:val="32"/>
          <w:szCs w:val="32"/>
        </w:rPr>
        <w:t>240.24</w:t>
      </w:r>
      <w:r>
        <w:rPr>
          <w:rFonts w:hint="eastAsia" w:ascii="仿宋_GB2312" w:eastAsia="仿宋_GB2312" w:cs="仿宋_GB2312"/>
          <w:kern w:val="0"/>
          <w:sz w:val="32"/>
          <w:szCs w:val="32"/>
        </w:rPr>
        <w:t>万元，其中本年支出</w:t>
      </w:r>
      <w:r>
        <w:rPr>
          <w:rFonts w:ascii="仿宋_GB2312" w:eastAsia="仿宋_GB2312" w:cs="仿宋_GB2312"/>
          <w:kern w:val="0"/>
          <w:sz w:val="32"/>
          <w:szCs w:val="32"/>
        </w:rPr>
        <w:t>239.76</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较2020年度决算数减少7.74万元，下降3.12%。</w:t>
      </w:r>
      <w:r>
        <w:rPr>
          <w:rFonts w:hint="eastAsia" w:ascii="仿宋_GB2312" w:eastAsia="仿宋_GB2312" w:cs="仿宋_GB2312"/>
          <w:kern w:val="0"/>
          <w:sz w:val="32"/>
          <w:szCs w:val="32"/>
        </w:rPr>
        <w:t>支出具体情况如下：</w:t>
      </w:r>
    </w:p>
    <w:p>
      <w:pPr>
        <w:autoSpaceDE w:val="0"/>
        <w:autoSpaceDN w:val="0"/>
        <w:adjustRightInd w:val="0"/>
        <w:spacing w:line="360" w:lineRule="auto"/>
        <w:ind w:firstLine="627" w:firstLineChars="196"/>
        <w:jc w:val="left"/>
        <w:rPr>
          <w:rFonts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w:t>
      </w:r>
      <w:r>
        <w:rPr>
          <w:rFonts w:hint="eastAsia"/>
        </w:rPr>
        <w:t xml:space="preserve"> </w:t>
      </w:r>
      <w:r>
        <w:rPr>
          <w:rFonts w:hint="eastAsia" w:ascii="仿宋_GB2312" w:eastAsia="仿宋_GB2312" w:cs="仿宋_GB2312"/>
          <w:bCs/>
          <w:kern w:val="0"/>
          <w:sz w:val="32"/>
          <w:szCs w:val="32"/>
        </w:rPr>
        <w:t>社会保障和就业支出（类）</w:t>
      </w:r>
      <w:r>
        <w:rPr>
          <w:rFonts w:ascii="仿宋_GB2312" w:eastAsia="仿宋_GB2312" w:cs="仿宋_GB2312"/>
          <w:kern w:val="0"/>
          <w:sz w:val="32"/>
          <w:szCs w:val="32"/>
        </w:rPr>
        <w:t>215.3</w:t>
      </w:r>
      <w:r>
        <w:rPr>
          <w:rFonts w:hint="eastAsia" w:ascii="仿宋_GB2312" w:eastAsia="仿宋_GB2312" w:cs="仿宋_GB2312"/>
          <w:kern w:val="0"/>
          <w:sz w:val="32"/>
          <w:szCs w:val="32"/>
        </w:rPr>
        <w:t>0万元：主要用于单位运行费用、人员工资、养老支出、职业年金支出等，</w:t>
      </w:r>
      <w:r>
        <w:rPr>
          <w:rFonts w:hint="eastAsia" w:ascii="仿宋_GB2312" w:hAnsi="黑体" w:eastAsia="仿宋_GB2312" w:cs="仿宋_GB2312"/>
          <w:kern w:val="0"/>
          <w:sz w:val="32"/>
          <w:szCs w:val="32"/>
        </w:rPr>
        <w:t>较2020年度决算数减少1.45万元，下降0.67%，主要原因是：2020年度支出2019年度人员经费结余。</w:t>
      </w:r>
    </w:p>
    <w:p>
      <w:pPr>
        <w:autoSpaceDE w:val="0"/>
        <w:autoSpaceDN w:val="0"/>
        <w:adjustRightInd w:val="0"/>
        <w:spacing w:line="360" w:lineRule="auto"/>
        <w:ind w:firstLine="640" w:firstLineChars="200"/>
        <w:jc w:val="left"/>
        <w:rPr>
          <w:rFonts w:ascii="仿宋_GB2312" w:hAnsi="黑体" w:eastAsia="仿宋_GB2312" w:cs="仿宋_GB2312"/>
          <w:kern w:val="0"/>
          <w:sz w:val="32"/>
          <w:szCs w:val="32"/>
        </w:rPr>
      </w:pPr>
      <w:r>
        <w:rPr>
          <w:rFonts w:hint="eastAsia" w:ascii="仿宋_GB2312" w:eastAsia="仿宋_GB2312"/>
          <w:bCs/>
          <w:kern w:val="0"/>
          <w:sz w:val="32"/>
          <w:szCs w:val="32"/>
        </w:rPr>
        <w:t>2</w:t>
      </w:r>
      <w:r>
        <w:rPr>
          <w:rFonts w:hint="eastAsia" w:ascii="仿宋_GB2312" w:eastAsia="仿宋_GB2312" w:cs="仿宋_GB2312"/>
          <w:kern w:val="0"/>
          <w:sz w:val="32"/>
          <w:szCs w:val="32"/>
        </w:rPr>
        <w:t>.</w:t>
      </w:r>
      <w:r>
        <w:rPr>
          <w:rFonts w:hint="eastAsia"/>
        </w:rPr>
        <w:t xml:space="preserve"> </w:t>
      </w:r>
      <w:r>
        <w:rPr>
          <w:rFonts w:hint="eastAsia" w:ascii="仿宋_GB2312" w:eastAsia="仿宋_GB2312" w:cs="仿宋_GB2312"/>
          <w:bCs/>
          <w:kern w:val="0"/>
          <w:sz w:val="32"/>
          <w:szCs w:val="32"/>
        </w:rPr>
        <w:t>卫生健康支出（类）</w:t>
      </w:r>
      <w:r>
        <w:rPr>
          <w:rFonts w:ascii="仿宋_GB2312" w:eastAsia="仿宋_GB2312" w:cs="仿宋_GB2312"/>
          <w:kern w:val="0"/>
          <w:sz w:val="32"/>
          <w:szCs w:val="32"/>
        </w:rPr>
        <w:t>7.89</w:t>
      </w:r>
      <w:r>
        <w:rPr>
          <w:rFonts w:hint="eastAsia" w:ascii="仿宋_GB2312" w:eastAsia="仿宋_GB2312" w:cs="仿宋_GB2312"/>
          <w:kern w:val="0"/>
          <w:sz w:val="32"/>
          <w:szCs w:val="32"/>
        </w:rPr>
        <w:t>万元：主要用于行政事业单位医疗支出等，</w:t>
      </w:r>
      <w:r>
        <w:rPr>
          <w:rFonts w:hint="eastAsia" w:ascii="仿宋_GB2312" w:hAnsi="黑体" w:eastAsia="仿宋_GB2312" w:cs="仿宋_GB2312"/>
          <w:kern w:val="0"/>
          <w:sz w:val="32"/>
          <w:szCs w:val="32"/>
        </w:rPr>
        <w:t>较2020年度决算数减少1.40万元，下降15.07%，主要原因是：2021年度调整医疗保险缴费基数。</w:t>
      </w:r>
    </w:p>
    <w:p>
      <w:pPr>
        <w:autoSpaceDE w:val="0"/>
        <w:autoSpaceDN w:val="0"/>
        <w:adjustRightInd w:val="0"/>
        <w:spacing w:line="360" w:lineRule="auto"/>
        <w:ind w:firstLine="640" w:firstLineChars="200"/>
        <w:jc w:val="left"/>
        <w:rPr>
          <w:rFonts w:ascii="仿宋_GB2312" w:hAnsi="黑体"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w:t>
      </w:r>
      <w:r>
        <w:rPr>
          <w:rFonts w:hint="eastAsia"/>
        </w:rPr>
        <w:t xml:space="preserve"> </w:t>
      </w:r>
      <w:r>
        <w:rPr>
          <w:rFonts w:hint="eastAsia" w:ascii="仿宋_GB2312" w:eastAsia="仿宋_GB2312" w:cs="仿宋_GB2312"/>
          <w:bCs/>
          <w:kern w:val="0"/>
          <w:sz w:val="32"/>
          <w:szCs w:val="32"/>
        </w:rPr>
        <w:t>住房保障支出（类）</w:t>
      </w:r>
      <w:r>
        <w:rPr>
          <w:rFonts w:hint="eastAsia" w:ascii="仿宋_GB2312" w:eastAsia="仿宋_GB2312" w:cs="仿宋_GB2312"/>
          <w:kern w:val="0"/>
          <w:sz w:val="32"/>
          <w:szCs w:val="32"/>
        </w:rPr>
        <w:t>16.57万元：主要用于住房公积金支出等，</w:t>
      </w:r>
      <w:r>
        <w:rPr>
          <w:rFonts w:hint="eastAsia" w:ascii="仿宋_GB2312" w:hAnsi="黑体" w:eastAsia="仿宋_GB2312" w:cs="仿宋_GB2312"/>
          <w:kern w:val="0"/>
          <w:sz w:val="32"/>
          <w:szCs w:val="32"/>
        </w:rPr>
        <w:t>较2020年度决算数增加1.72万元，增长11.58%，主要原因是：2021年度住房公积金缴费基数增长。</w:t>
      </w:r>
    </w:p>
    <w:p>
      <w:pPr>
        <w:autoSpaceDE w:val="0"/>
        <w:autoSpaceDN w:val="0"/>
        <w:adjustRightInd w:val="0"/>
        <w:spacing w:line="360" w:lineRule="auto"/>
        <w:ind w:firstLine="640" w:firstLineChars="200"/>
        <w:jc w:val="left"/>
        <w:rPr>
          <w:rFonts w:ascii="仿宋_GB2312" w:eastAsia="仿宋_GB2312" w:cs="仿宋_GB2312"/>
          <w:kern w:val="0"/>
          <w:sz w:val="32"/>
          <w:szCs w:val="32"/>
        </w:rPr>
      </w:pPr>
      <w:r>
        <w:rPr>
          <w:rFonts w:hint="eastAsia" w:ascii="仿宋_GB2312" w:eastAsia="仿宋_GB2312"/>
          <w:bCs/>
          <w:kern w:val="0"/>
          <w:sz w:val="32"/>
          <w:szCs w:val="32"/>
        </w:rPr>
        <w:t>4</w:t>
      </w:r>
      <w:r>
        <w:rPr>
          <w:rFonts w:hint="eastAsia" w:ascii="仿宋_GB2312" w:eastAsia="仿宋_GB2312" w:cs="仿宋_GB2312"/>
          <w:kern w:val="0"/>
          <w:sz w:val="32"/>
          <w:szCs w:val="32"/>
        </w:rPr>
        <w:t>.结余分配</w:t>
      </w:r>
      <w:r>
        <w:rPr>
          <w:rFonts w:hint="eastAsia" w:ascii="仿宋_GB2312" w:eastAsia="仿宋_GB2312"/>
          <w:kern w:val="0"/>
          <w:sz w:val="32"/>
          <w:szCs w:val="32"/>
        </w:rPr>
        <w:t>0</w:t>
      </w:r>
      <w:r>
        <w:rPr>
          <w:rFonts w:hint="eastAsia" w:ascii="仿宋_GB2312" w:eastAsia="仿宋_GB2312" w:cs="仿宋_GB2312"/>
          <w:kern w:val="0"/>
          <w:sz w:val="32"/>
          <w:szCs w:val="32"/>
        </w:rPr>
        <w:t>万元，为事业单位按规定提取的职工福利基金、事业基金和缴纳的所得税等。</w:t>
      </w:r>
      <w:r>
        <w:rPr>
          <w:rFonts w:hint="eastAsia" w:ascii="仿宋_GB2312" w:hAnsi="黑体" w:eastAsia="仿宋_GB2312" w:cs="仿宋_GB2312"/>
          <w:kern w:val="0"/>
          <w:sz w:val="32"/>
          <w:szCs w:val="32"/>
        </w:rPr>
        <w:t>较2020年度决算数增加0万元，增长0%。</w:t>
      </w:r>
    </w:p>
    <w:p>
      <w:pPr>
        <w:autoSpaceDE w:val="0"/>
        <w:autoSpaceDN w:val="0"/>
        <w:adjustRightInd w:val="0"/>
        <w:spacing w:line="360" w:lineRule="auto"/>
        <w:ind w:firstLine="627" w:firstLineChars="196"/>
        <w:jc w:val="left"/>
        <w:rPr>
          <w:rFonts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.年末结转和结余</w:t>
      </w:r>
      <w:r>
        <w:rPr>
          <w:rFonts w:hint="eastAsia" w:ascii="仿宋_GB2312" w:eastAsia="仿宋_GB2312"/>
          <w:kern w:val="0"/>
          <w:sz w:val="32"/>
          <w:szCs w:val="32"/>
        </w:rPr>
        <w:t>0.47</w:t>
      </w:r>
      <w:r>
        <w:rPr>
          <w:rFonts w:hint="eastAsia" w:ascii="仿宋_GB2312" w:eastAsia="仿宋_GB2312" w:cs="仿宋_GB2312"/>
          <w:kern w:val="0"/>
          <w:sz w:val="32"/>
          <w:szCs w:val="32"/>
        </w:rPr>
        <w:t>万元，为本年度或以前年度</w:t>
      </w:r>
    </w:p>
    <w:p>
      <w:pPr>
        <w:autoSpaceDE w:val="0"/>
        <w:autoSpaceDN w:val="0"/>
        <w:adjustRightInd w:val="0"/>
        <w:spacing w:line="360" w:lineRule="auto"/>
        <w:jc w:val="left"/>
        <w:rPr>
          <w:rFonts w:ascii="仿宋_GB2312" w:hAnsi="黑体" w:eastAsia="仿宋_GB2312" w:cs="仿宋_GB2312"/>
          <w:kern w:val="0"/>
          <w:sz w:val="32"/>
          <w:szCs w:val="32"/>
        </w:rPr>
      </w:pPr>
      <w:r>
        <w:rPr>
          <w:rFonts w:hint="eastAsia" w:ascii="仿宋_GB2312" w:eastAsia="仿宋_GB2312" w:cs="仿宋_GB2312"/>
          <w:kern w:val="0"/>
          <w:sz w:val="32"/>
          <w:szCs w:val="32"/>
        </w:rPr>
        <w:t>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较2020年度决算数减少6.62万元，下降93.37%，主要原因是：2020年度结余自治区项目资金。</w:t>
      </w:r>
    </w:p>
    <w:p>
      <w:pPr>
        <w:autoSpaceDE w:val="0"/>
        <w:autoSpaceDN w:val="0"/>
        <w:adjustRightInd w:val="0"/>
        <w:spacing w:line="360" w:lineRule="auto"/>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rPr>
        <w:t xml:space="preserve">2021 </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360" w:lineRule="auto"/>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本单位</w:t>
      </w:r>
      <w:r>
        <w:rPr>
          <w:rFonts w:hint="eastAsia" w:ascii="仿宋_GB2312" w:eastAsia="仿宋_GB2312"/>
          <w:kern w:val="0"/>
          <w:sz w:val="32"/>
          <w:szCs w:val="32"/>
        </w:rPr>
        <w:t xml:space="preserve">2021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ascii="仿宋_GB2312" w:eastAsia="仿宋_GB2312"/>
          <w:kern w:val="0"/>
          <w:sz w:val="32"/>
          <w:szCs w:val="32"/>
        </w:rPr>
        <w:t>239.76</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较2020年度决算数增加0.99万元，增长0.41%。</w:t>
      </w:r>
      <w:r>
        <w:rPr>
          <w:rFonts w:hint="eastAsia" w:ascii="仿宋_GB2312" w:eastAsia="仿宋_GB2312" w:cs="仿宋_GB2312"/>
          <w:kern w:val="0"/>
          <w:sz w:val="32"/>
          <w:szCs w:val="32"/>
        </w:rPr>
        <w:t>其中：基本支出</w:t>
      </w:r>
      <w:r>
        <w:rPr>
          <w:rFonts w:ascii="仿宋_GB2312" w:eastAsia="仿宋_GB2312"/>
          <w:kern w:val="0"/>
          <w:sz w:val="32"/>
          <w:szCs w:val="32"/>
        </w:rPr>
        <w:t>211.44</w:t>
      </w:r>
      <w:r>
        <w:rPr>
          <w:rFonts w:hint="eastAsia" w:ascii="仿宋_GB2312" w:eastAsia="仿宋_GB2312" w:cs="仿宋_GB2312"/>
          <w:kern w:val="0"/>
          <w:sz w:val="32"/>
          <w:szCs w:val="32"/>
        </w:rPr>
        <w:t>万元，项目支出</w:t>
      </w:r>
      <w:r>
        <w:rPr>
          <w:rFonts w:ascii="仿宋_GB2312" w:eastAsia="仿宋_GB2312"/>
          <w:kern w:val="0"/>
          <w:sz w:val="32"/>
          <w:szCs w:val="32"/>
        </w:rPr>
        <w:t>28.33</w:t>
      </w:r>
      <w:r>
        <w:rPr>
          <w:rFonts w:hint="eastAsia" w:ascii="仿宋_GB2312" w:eastAsia="仿宋_GB2312" w:cs="仿宋_GB2312"/>
          <w:kern w:val="0"/>
          <w:sz w:val="32"/>
          <w:szCs w:val="32"/>
        </w:rPr>
        <w:t>万元。</w:t>
      </w:r>
    </w:p>
    <w:p>
      <w:pPr>
        <w:autoSpaceDE w:val="0"/>
        <w:autoSpaceDN w:val="0"/>
        <w:adjustRightInd w:val="0"/>
        <w:spacing w:line="360" w:lineRule="auto"/>
        <w:ind w:firstLine="640" w:firstLineChars="200"/>
        <w:jc w:val="left"/>
        <w:rPr>
          <w:rFonts w:ascii="仿宋_GB2312" w:hAnsi="黑体" w:eastAsia="仿宋_GB2312" w:cs="仿宋_GB2312"/>
          <w:kern w:val="0"/>
          <w:sz w:val="32"/>
          <w:szCs w:val="32"/>
        </w:rPr>
      </w:pPr>
      <w:r>
        <w:rPr>
          <w:rFonts w:hint="eastAsia" w:ascii="仿宋_GB2312" w:eastAsia="仿宋_GB2312" w:cs="仿宋_GB2312"/>
          <w:kern w:val="0"/>
          <w:sz w:val="32"/>
          <w:szCs w:val="32"/>
        </w:rPr>
        <w:t>本单位</w:t>
      </w:r>
      <w:r>
        <w:rPr>
          <w:rFonts w:hint="eastAsia" w:ascii="仿宋_GB2312" w:hAnsi="黑体" w:eastAsia="仿宋_GB2312"/>
          <w:kern w:val="0"/>
          <w:sz w:val="32"/>
          <w:szCs w:val="32"/>
        </w:rPr>
        <w:t xml:space="preserve">2021 </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公共预算财政拨款支出年初预算为225.12万元，支出决算为239.76万元，完成年初预算的106.5%。其中：</w:t>
      </w:r>
    </w:p>
    <w:p>
      <w:pPr>
        <w:autoSpaceDE w:val="0"/>
        <w:autoSpaceDN w:val="0"/>
        <w:adjustRightInd w:val="0"/>
        <w:spacing w:line="360" w:lineRule="auto"/>
        <w:ind w:firstLine="627" w:firstLineChars="196"/>
        <w:jc w:val="left"/>
        <w:rPr>
          <w:rFonts w:ascii="仿宋_GB2312" w:eastAsia="仿宋_GB2312" w:cs="仿宋_GB2312"/>
          <w:kern w:val="0"/>
          <w:sz w:val="32"/>
          <w:szCs w:val="32"/>
        </w:rPr>
      </w:pPr>
      <w:r>
        <w:rPr>
          <w:rFonts w:hint="eastAsia" w:ascii="仿宋_GB2312" w:eastAsia="仿宋_GB2312"/>
          <w:bCs/>
          <w:kern w:val="0"/>
          <w:sz w:val="32"/>
          <w:szCs w:val="32"/>
        </w:rPr>
        <w:t>（一）</w:t>
      </w:r>
      <w:r>
        <w:rPr>
          <w:rFonts w:hint="eastAsia" w:ascii="仿宋_GB2312" w:eastAsia="仿宋_GB2312" w:cs="仿宋_GB2312"/>
          <w:bCs/>
          <w:kern w:val="0"/>
          <w:sz w:val="32"/>
          <w:szCs w:val="32"/>
        </w:rPr>
        <w:t>社会保障和就业支出（类）民政管理事务（款）其他民政管理事务支出（项）</w:t>
      </w:r>
      <w:r>
        <w:rPr>
          <w:rFonts w:hint="eastAsia" w:ascii="仿宋_GB2312" w:eastAsia="仿宋_GB2312" w:cs="仿宋_GB2312"/>
          <w:kern w:val="0"/>
          <w:sz w:val="32"/>
          <w:szCs w:val="32"/>
        </w:rPr>
        <w:t>。</w:t>
      </w:r>
      <w:r>
        <w:rPr>
          <w:rFonts w:hint="eastAsia" w:ascii="仿宋_GB2312" w:hAnsi="黑体" w:eastAsia="仿宋_GB2312" w:cs="仿宋_GB2312"/>
          <w:kern w:val="0"/>
          <w:sz w:val="32"/>
          <w:szCs w:val="32"/>
        </w:rPr>
        <w:t>年初预算为174.77万元，支出决算为</w:t>
      </w:r>
      <w:r>
        <w:rPr>
          <w:rFonts w:ascii="仿宋_GB2312" w:hAnsi="黑体" w:eastAsia="仿宋_GB2312" w:cs="仿宋_GB2312"/>
          <w:kern w:val="0"/>
          <w:sz w:val="32"/>
          <w:szCs w:val="32"/>
        </w:rPr>
        <w:t>185.95</w:t>
      </w:r>
      <w:r>
        <w:rPr>
          <w:rFonts w:hint="eastAsia" w:ascii="仿宋_GB2312" w:hAnsi="黑体" w:eastAsia="仿宋_GB2312" w:cs="仿宋_GB2312"/>
          <w:kern w:val="0"/>
          <w:sz w:val="32"/>
          <w:szCs w:val="32"/>
        </w:rPr>
        <w:t>万元，完成年初预算的106.40%。</w:t>
      </w:r>
      <w:r>
        <w:rPr>
          <w:rFonts w:hint="eastAsia" w:ascii="仿宋_GB2312" w:eastAsia="仿宋_GB2312" w:cs="仿宋_GB2312"/>
          <w:kern w:val="0"/>
          <w:sz w:val="32"/>
          <w:szCs w:val="32"/>
        </w:rPr>
        <w:t>主要用于新录用人员工资及工资基数调整。</w:t>
      </w:r>
    </w:p>
    <w:p>
      <w:pPr>
        <w:autoSpaceDE w:val="0"/>
        <w:autoSpaceDN w:val="0"/>
        <w:adjustRightInd w:val="0"/>
        <w:spacing w:line="360" w:lineRule="auto"/>
        <w:ind w:firstLine="627" w:firstLineChars="196"/>
        <w:jc w:val="left"/>
        <w:rPr>
          <w:rFonts w:ascii="仿宋_GB2312" w:eastAsia="仿宋_GB2312" w:cs="仿宋_GB2312"/>
          <w:bCs/>
          <w:kern w:val="0"/>
          <w:sz w:val="32"/>
          <w:szCs w:val="32"/>
        </w:rPr>
      </w:pPr>
      <w:r>
        <w:rPr>
          <w:rFonts w:hint="eastAsia" w:ascii="仿宋_GB2312" w:eastAsia="仿宋_GB2312" w:cs="仿宋_GB2312"/>
          <w:bCs/>
          <w:kern w:val="0"/>
          <w:sz w:val="32"/>
          <w:szCs w:val="32"/>
        </w:rPr>
        <w:t>（二）社会保障和就业支出（类）行政事业单位养老支出（款）机关事业单位基本养老保险缴费支出（项）。</w:t>
      </w:r>
      <w:r>
        <w:rPr>
          <w:rFonts w:hint="eastAsia" w:ascii="仿宋_GB2312" w:hAnsi="黑体" w:eastAsia="仿宋_GB2312" w:cs="仿宋_GB2312"/>
          <w:kern w:val="0"/>
          <w:sz w:val="32"/>
          <w:szCs w:val="32"/>
        </w:rPr>
        <w:t>年初预算为18.37万元，支出决算为19.76万元，完成年初预算的107.57%。</w:t>
      </w:r>
      <w:r>
        <w:rPr>
          <w:rFonts w:hint="eastAsia" w:ascii="仿宋_GB2312" w:eastAsia="仿宋_GB2312" w:cs="仿宋_GB2312"/>
          <w:kern w:val="0"/>
          <w:sz w:val="32"/>
          <w:szCs w:val="32"/>
        </w:rPr>
        <w:t>主要原因为人员养老保险缴费基数增长。</w:t>
      </w:r>
    </w:p>
    <w:p>
      <w:pPr>
        <w:numPr>
          <w:ilvl w:val="255"/>
          <w:numId w:val="0"/>
        </w:numPr>
        <w:autoSpaceDE w:val="0"/>
        <w:autoSpaceDN w:val="0"/>
        <w:adjustRightInd w:val="0"/>
        <w:spacing w:line="360" w:lineRule="auto"/>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bCs/>
          <w:kern w:val="0"/>
          <w:sz w:val="32"/>
          <w:szCs w:val="32"/>
        </w:rPr>
        <w:t>社会保障和就业支出（类）行政事业单位养老支出（款）机关事业单位职业年金缴费支出（项）。</w:t>
      </w:r>
      <w:r>
        <w:rPr>
          <w:rFonts w:hint="eastAsia" w:ascii="仿宋_GB2312" w:hAnsi="黑体" w:eastAsia="仿宋_GB2312" w:cs="仿宋_GB2312"/>
          <w:kern w:val="0"/>
          <w:sz w:val="32"/>
          <w:szCs w:val="32"/>
        </w:rPr>
        <w:t>年初预算为9.18万元，支出决算为9.59万元，完成年初预算的104.47%。</w:t>
      </w:r>
      <w:r>
        <w:rPr>
          <w:rFonts w:hint="eastAsia" w:ascii="仿宋_GB2312" w:eastAsia="仿宋_GB2312" w:cs="仿宋_GB2312"/>
          <w:kern w:val="0"/>
          <w:sz w:val="32"/>
          <w:szCs w:val="32"/>
        </w:rPr>
        <w:t>主要原因为人员职业年金缴费基数增长。</w:t>
      </w:r>
    </w:p>
    <w:p>
      <w:pPr>
        <w:autoSpaceDE w:val="0"/>
        <w:autoSpaceDN w:val="0"/>
        <w:adjustRightInd w:val="0"/>
        <w:spacing w:line="360" w:lineRule="auto"/>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cs="仿宋_GB2312"/>
          <w:bCs/>
          <w:kern w:val="0"/>
          <w:sz w:val="32"/>
          <w:szCs w:val="32"/>
        </w:rPr>
        <w:t>卫生健康支出（类）行政事业单位医疗（款）  事业单位医疗（项）。</w:t>
      </w:r>
      <w:r>
        <w:rPr>
          <w:rFonts w:hint="eastAsia" w:ascii="仿宋_GB2312" w:hAnsi="黑体" w:eastAsia="仿宋_GB2312" w:cs="仿宋_GB2312"/>
          <w:kern w:val="0"/>
          <w:sz w:val="32"/>
          <w:szCs w:val="32"/>
        </w:rPr>
        <w:t>年初预算为9.03万元，支出决算为7.89万元，完成年初预算的87.38%。</w:t>
      </w:r>
      <w:r>
        <w:rPr>
          <w:rFonts w:hint="eastAsia" w:ascii="仿宋_GB2312" w:eastAsia="仿宋_GB2312" w:cs="仿宋_GB2312"/>
          <w:kern w:val="0"/>
          <w:sz w:val="32"/>
          <w:szCs w:val="32"/>
        </w:rPr>
        <w:t>主要原因为人员医疗保险缴费减少。</w:t>
      </w:r>
    </w:p>
    <w:p>
      <w:pPr>
        <w:autoSpaceDE w:val="0"/>
        <w:autoSpaceDN w:val="0"/>
        <w:adjustRightInd w:val="0"/>
        <w:spacing w:line="360" w:lineRule="auto"/>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bCs/>
          <w:kern w:val="0"/>
          <w:sz w:val="32"/>
          <w:szCs w:val="32"/>
        </w:rPr>
        <w:t>住房保障支出（类）住房改革支出（款）住房公积金（项）。</w:t>
      </w:r>
      <w:r>
        <w:rPr>
          <w:rFonts w:hint="eastAsia" w:ascii="仿宋_GB2312" w:hAnsi="黑体" w:eastAsia="仿宋_GB2312" w:cs="仿宋_GB2312"/>
          <w:kern w:val="0"/>
          <w:sz w:val="32"/>
          <w:szCs w:val="32"/>
        </w:rPr>
        <w:t>年初预算为13.78万元，支出决算为16.57万元，完成年初预算的120.25%。</w:t>
      </w:r>
      <w:r>
        <w:rPr>
          <w:rFonts w:hint="eastAsia" w:ascii="仿宋_GB2312" w:eastAsia="仿宋_GB2312" w:cs="仿宋_GB2312"/>
          <w:kern w:val="0"/>
          <w:sz w:val="32"/>
          <w:szCs w:val="32"/>
        </w:rPr>
        <w:t>主要原因为住房公积金缴费基数提高。</w:t>
      </w:r>
    </w:p>
    <w:p>
      <w:pPr>
        <w:autoSpaceDE w:val="0"/>
        <w:autoSpaceDN w:val="0"/>
        <w:adjustRightInd w:val="0"/>
        <w:spacing w:line="360" w:lineRule="auto"/>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三、2021年度一般公共预算财政拨款基本支出决算情况说明</w:t>
      </w:r>
    </w:p>
    <w:p>
      <w:pPr>
        <w:autoSpaceDE w:val="0"/>
        <w:autoSpaceDN w:val="0"/>
        <w:adjustRightInd w:val="0"/>
        <w:spacing w:line="360" w:lineRule="auto"/>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本单位2021年度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w:t>
      </w:r>
      <w:r>
        <w:rPr>
          <w:rFonts w:hint="eastAsia" w:ascii="仿宋_GB2312" w:eastAsia="仿宋_GB2312" w:cs="仿宋_GB2312"/>
          <w:kern w:val="0"/>
          <w:sz w:val="32"/>
          <w:szCs w:val="32"/>
          <w:lang w:val="en-US" w:eastAsia="zh-CN"/>
        </w:rPr>
        <w:t>出</w:t>
      </w:r>
      <w:bookmarkStart w:id="0" w:name="_GoBack"/>
      <w:bookmarkEnd w:id="0"/>
      <w:r>
        <w:rPr>
          <w:rFonts w:hint="eastAsia" w:ascii="仿宋_GB2312" w:eastAsia="仿宋_GB2312" w:cs="仿宋_GB2312"/>
          <w:kern w:val="0"/>
          <w:sz w:val="32"/>
          <w:szCs w:val="32"/>
          <w:lang w:val="en-US" w:eastAsia="zh-CN"/>
        </w:rPr>
        <w:t>211.44</w:t>
      </w:r>
      <w:r>
        <w:rPr>
          <w:rFonts w:hint="eastAsia" w:ascii="仿宋_GB2312" w:eastAsia="仿宋_GB2312" w:cs="仿宋_GB2312"/>
          <w:kern w:val="0"/>
          <w:sz w:val="32"/>
          <w:szCs w:val="32"/>
        </w:rPr>
        <w:t>万元，支出具体情况如下：</w:t>
      </w:r>
    </w:p>
    <w:p>
      <w:pPr>
        <w:autoSpaceDE w:val="0"/>
        <w:autoSpaceDN w:val="0"/>
        <w:adjustRightInd w:val="0"/>
        <w:spacing w:line="360" w:lineRule="auto"/>
        <w:ind w:firstLine="640" w:firstLineChars="200"/>
        <w:jc w:val="left"/>
        <w:rPr>
          <w:rFonts w:ascii="仿宋_GB2312" w:eastAsia="仿宋_GB2312"/>
          <w:bCs/>
          <w:kern w:val="0"/>
          <w:sz w:val="32"/>
          <w:szCs w:val="32"/>
        </w:rPr>
      </w:pPr>
      <w:r>
        <w:rPr>
          <w:rFonts w:hint="eastAsia" w:ascii="仿宋_GB2312" w:eastAsia="仿宋_GB2312"/>
          <w:bCs/>
          <w:kern w:val="0"/>
          <w:sz w:val="32"/>
          <w:szCs w:val="32"/>
        </w:rPr>
        <w:t>（一）工资福利支出</w:t>
      </w:r>
      <w:r>
        <w:rPr>
          <w:rFonts w:ascii="仿宋_GB2312" w:eastAsia="仿宋_GB2312"/>
          <w:bCs/>
          <w:kern w:val="0"/>
          <w:sz w:val="32"/>
          <w:szCs w:val="32"/>
        </w:rPr>
        <w:t>198.77</w:t>
      </w:r>
      <w:r>
        <w:rPr>
          <w:rFonts w:hint="eastAsia" w:ascii="仿宋_GB2312" w:eastAsia="仿宋_GB2312"/>
          <w:bCs/>
          <w:kern w:val="0"/>
          <w:sz w:val="32"/>
          <w:szCs w:val="32"/>
        </w:rPr>
        <w:t>万元，完成年初预算的117.49%。主要差异原因为新录用人员工资、工资基数调整及养老保险、职业年金、医疗保险、住房公积金等基数调整。</w:t>
      </w:r>
    </w:p>
    <w:p>
      <w:pPr>
        <w:autoSpaceDE w:val="0"/>
        <w:autoSpaceDN w:val="0"/>
        <w:adjustRightInd w:val="0"/>
        <w:spacing w:line="360" w:lineRule="auto"/>
        <w:ind w:firstLine="640" w:firstLineChars="200"/>
        <w:jc w:val="left"/>
        <w:rPr>
          <w:rFonts w:ascii="黑体" w:hAnsi="黑体" w:eastAsia="黑体" w:cs="仿宋_GB2312"/>
          <w:kern w:val="0"/>
          <w:sz w:val="32"/>
          <w:szCs w:val="32"/>
        </w:rPr>
      </w:pPr>
      <w:r>
        <w:rPr>
          <w:rFonts w:hint="eastAsia" w:ascii="仿宋_GB2312" w:eastAsia="仿宋_GB2312"/>
          <w:bCs/>
          <w:kern w:val="0"/>
          <w:sz w:val="32"/>
          <w:szCs w:val="32"/>
        </w:rPr>
        <w:t>（二）商品和服务支出</w:t>
      </w:r>
      <w:r>
        <w:rPr>
          <w:rFonts w:ascii="仿宋_GB2312" w:eastAsia="仿宋_GB2312"/>
          <w:bCs/>
          <w:kern w:val="0"/>
          <w:sz w:val="32"/>
          <w:szCs w:val="32"/>
        </w:rPr>
        <w:t>12.67</w:t>
      </w:r>
      <w:r>
        <w:rPr>
          <w:rFonts w:hint="eastAsia" w:ascii="仿宋_GB2312" w:eastAsia="仿宋_GB2312"/>
          <w:bCs/>
          <w:kern w:val="0"/>
          <w:sz w:val="32"/>
          <w:szCs w:val="32"/>
        </w:rPr>
        <w:t>万元，完成年初预算的70.70%。主要差异原因为会议费、培训费、公务接待费等未支出完毕。</w:t>
      </w:r>
    </w:p>
    <w:p>
      <w:pPr>
        <w:autoSpaceDE w:val="0"/>
        <w:autoSpaceDN w:val="0"/>
        <w:adjustRightInd w:val="0"/>
        <w:spacing w:line="360" w:lineRule="auto"/>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四、2021年度政府性基金支出决算情况</w:t>
      </w:r>
    </w:p>
    <w:p>
      <w:pPr>
        <w:autoSpaceDE w:val="0"/>
        <w:autoSpaceDN w:val="0"/>
        <w:adjustRightInd w:val="0"/>
        <w:spacing w:line="360" w:lineRule="auto"/>
        <w:ind w:firstLine="640" w:firstLineChars="200"/>
        <w:jc w:val="left"/>
        <w:rPr>
          <w:rFonts w:ascii="仿宋_GB2312" w:eastAsia="仿宋_GB2312" w:cs="仿宋_GB2312"/>
          <w:b w:val="0"/>
          <w:bCs/>
          <w:kern w:val="0"/>
          <w:sz w:val="32"/>
          <w:szCs w:val="32"/>
        </w:rPr>
      </w:pPr>
      <w:r>
        <w:rPr>
          <w:rFonts w:hint="eastAsia" w:ascii="仿宋_GB2312" w:eastAsia="仿宋_GB2312" w:cs="仿宋_GB2312"/>
          <w:b w:val="0"/>
          <w:bCs/>
          <w:kern w:val="0"/>
          <w:sz w:val="32"/>
          <w:szCs w:val="32"/>
        </w:rPr>
        <w:t>柳州市低收入居民家庭经济状况核对中心2</w:t>
      </w:r>
      <w:r>
        <w:rPr>
          <w:rFonts w:ascii="仿宋_GB2312" w:eastAsia="仿宋_GB2312" w:cs="仿宋_GB2312"/>
          <w:b w:val="0"/>
          <w:bCs/>
          <w:kern w:val="0"/>
          <w:sz w:val="32"/>
          <w:szCs w:val="32"/>
        </w:rPr>
        <w:t>02</w:t>
      </w:r>
      <w:r>
        <w:rPr>
          <w:rFonts w:hint="eastAsia" w:ascii="仿宋_GB2312" w:eastAsia="仿宋_GB2312" w:cs="仿宋_GB2312"/>
          <w:b w:val="0"/>
          <w:bCs/>
          <w:kern w:val="0"/>
          <w:sz w:val="32"/>
          <w:szCs w:val="32"/>
        </w:rPr>
        <w:t>1年度没有政府性基金收入，也没有政府性基金安排的支出，故无数据情况说明。</w:t>
      </w:r>
    </w:p>
    <w:p>
      <w:pPr>
        <w:autoSpaceDE w:val="0"/>
        <w:autoSpaceDN w:val="0"/>
        <w:adjustRightInd w:val="0"/>
        <w:spacing w:line="360" w:lineRule="auto"/>
        <w:ind w:firstLine="640" w:firstLineChars="200"/>
        <w:jc w:val="left"/>
        <w:rPr>
          <w:rFonts w:ascii="仿宋_GB2312" w:eastAsia="仿宋_GB2312" w:cs="仿宋_GB2312"/>
          <w:kern w:val="0"/>
          <w:sz w:val="32"/>
          <w:szCs w:val="32"/>
        </w:rPr>
      </w:pPr>
      <w:r>
        <w:rPr>
          <w:rFonts w:hint="eastAsia" w:ascii="黑体" w:hAnsi="黑体" w:eastAsia="黑体" w:cs="仿宋_GB2312"/>
          <w:kern w:val="0"/>
          <w:sz w:val="32"/>
          <w:szCs w:val="32"/>
        </w:rPr>
        <w:t>五、2021年度国有资本经营预算支出决算情况</w:t>
      </w:r>
    </w:p>
    <w:p>
      <w:pPr>
        <w:autoSpaceDE w:val="0"/>
        <w:autoSpaceDN w:val="0"/>
        <w:adjustRightInd w:val="0"/>
        <w:spacing w:line="360" w:lineRule="auto"/>
        <w:ind w:firstLine="640" w:firstLineChars="200"/>
        <w:jc w:val="left"/>
        <w:rPr>
          <w:rFonts w:ascii="仿宋_GB2312" w:eastAsia="仿宋_GB2312" w:cs="仿宋_GB2312"/>
          <w:b w:val="0"/>
          <w:bCs/>
          <w:kern w:val="0"/>
          <w:sz w:val="32"/>
          <w:szCs w:val="32"/>
        </w:rPr>
      </w:pPr>
      <w:r>
        <w:rPr>
          <w:rFonts w:hint="eastAsia" w:ascii="仿宋_GB2312" w:eastAsia="仿宋_GB2312" w:cs="仿宋_GB2312"/>
          <w:b w:val="0"/>
          <w:bCs/>
          <w:kern w:val="0"/>
          <w:sz w:val="32"/>
          <w:szCs w:val="32"/>
        </w:rPr>
        <w:t>柳州市低收入居民家庭经济状况核对中心2</w:t>
      </w:r>
      <w:r>
        <w:rPr>
          <w:rFonts w:ascii="仿宋_GB2312" w:eastAsia="仿宋_GB2312" w:cs="仿宋_GB2312"/>
          <w:b w:val="0"/>
          <w:bCs/>
          <w:kern w:val="0"/>
          <w:sz w:val="32"/>
          <w:szCs w:val="32"/>
        </w:rPr>
        <w:t>02</w:t>
      </w:r>
      <w:r>
        <w:rPr>
          <w:rFonts w:hint="eastAsia" w:ascii="仿宋_GB2312" w:eastAsia="仿宋_GB2312" w:cs="仿宋_GB2312"/>
          <w:b w:val="0"/>
          <w:bCs/>
          <w:kern w:val="0"/>
          <w:sz w:val="32"/>
          <w:szCs w:val="32"/>
        </w:rPr>
        <w:t>1年度没有</w:t>
      </w:r>
      <w:r>
        <w:rPr>
          <w:rFonts w:hint="eastAsia" w:ascii="仿宋_GB2312" w:eastAsia="仿宋_GB2312"/>
          <w:b w:val="0"/>
          <w:bCs/>
          <w:kern w:val="0"/>
          <w:sz w:val="32"/>
          <w:szCs w:val="32"/>
        </w:rPr>
        <w:t>国有资本经营预算财政拨款</w:t>
      </w:r>
      <w:r>
        <w:rPr>
          <w:rFonts w:hint="eastAsia" w:ascii="仿宋_GB2312" w:eastAsia="仿宋_GB2312" w:cs="仿宋_GB2312"/>
          <w:b w:val="0"/>
          <w:bCs/>
          <w:kern w:val="0"/>
          <w:sz w:val="32"/>
          <w:szCs w:val="32"/>
        </w:rPr>
        <w:t>收入，也没有</w:t>
      </w:r>
      <w:r>
        <w:rPr>
          <w:rFonts w:hint="eastAsia" w:ascii="仿宋_GB2312" w:eastAsia="仿宋_GB2312"/>
          <w:b w:val="0"/>
          <w:bCs/>
          <w:kern w:val="0"/>
          <w:sz w:val="32"/>
          <w:szCs w:val="32"/>
        </w:rPr>
        <w:t>国有资本经营预算财政拨款安排</w:t>
      </w:r>
      <w:r>
        <w:rPr>
          <w:rFonts w:hint="eastAsia" w:ascii="仿宋_GB2312" w:eastAsia="仿宋_GB2312" w:cs="仿宋_GB2312"/>
          <w:b w:val="0"/>
          <w:bCs/>
          <w:kern w:val="0"/>
          <w:sz w:val="32"/>
          <w:szCs w:val="32"/>
        </w:rPr>
        <w:t>的支出，故无数据情况说明。</w:t>
      </w:r>
    </w:p>
    <w:p>
      <w:pPr>
        <w:autoSpaceDE w:val="0"/>
        <w:autoSpaceDN w:val="0"/>
        <w:adjustRightInd w:val="0"/>
        <w:spacing w:line="360" w:lineRule="auto"/>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360" w:lineRule="auto"/>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本单位2021年度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公共预算财政拨款安排的“三公”经费支出0万元，完成年初预算的0%，与上年持平。其中：因公出国（境）费支出决算0万元，公务用车购置及运行费支出决算0万元，公务接待费支出决算0万元。</w:t>
      </w:r>
    </w:p>
    <w:p>
      <w:pPr>
        <w:autoSpaceDE w:val="0"/>
        <w:autoSpaceDN w:val="0"/>
        <w:adjustRightInd w:val="0"/>
        <w:spacing w:line="360" w:lineRule="auto"/>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360" w:lineRule="auto"/>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（一）因公出国（境）费支出0万元，完成年初预算的0%，与上年持平。全年使用财政拨款安排</w:t>
      </w:r>
      <w:r>
        <w:rPr>
          <w:rFonts w:hint="eastAsia" w:ascii="仿宋_GB2312" w:hAnsi="黑体" w:eastAsia="仿宋_GB2312"/>
          <w:bCs/>
          <w:color w:val="000000"/>
          <w:sz w:val="32"/>
          <w:szCs w:val="32"/>
        </w:rPr>
        <w:t>柳州市低收入居民家庭经济状况核对中心出国团组0个，参加其他单位组织的出国团组0个，全年因公出国（境）团组共计0个，累计0人次。</w:t>
      </w:r>
    </w:p>
    <w:p>
      <w:pPr>
        <w:autoSpaceDE w:val="0"/>
        <w:autoSpaceDN w:val="0"/>
        <w:adjustRightInd w:val="0"/>
        <w:spacing w:line="360" w:lineRule="auto"/>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（二）公务用车购置及运行费支出0万元。其中：</w:t>
      </w:r>
    </w:p>
    <w:p>
      <w:pPr>
        <w:autoSpaceDE w:val="0"/>
        <w:autoSpaceDN w:val="0"/>
        <w:adjustRightInd w:val="0"/>
        <w:spacing w:line="360" w:lineRule="auto"/>
        <w:ind w:firstLine="960" w:firstLineChars="300"/>
        <w:jc w:val="left"/>
        <w:rPr>
          <w:rFonts w:ascii="仿宋_GB2312" w:eastAsia="仿宋_GB2312" w:cs="仿宋_GB2312"/>
          <w:kern w:val="0"/>
          <w:sz w:val="32"/>
          <w:szCs w:val="32"/>
        </w:rPr>
      </w:pPr>
      <w:r>
        <w:rPr>
          <w:rFonts w:hint="eastAsia" w:ascii="仿宋_GB2312" w:eastAsia="仿宋_GB2312" w:cs="仿宋_GB2312"/>
          <w:kern w:val="0"/>
          <w:sz w:val="32"/>
          <w:szCs w:val="32"/>
        </w:rPr>
        <w:t>公务用车购置支出0万元，完成年初预算的0%，与上年持平。购置了0辆公务用车。</w:t>
      </w:r>
    </w:p>
    <w:p>
      <w:pPr>
        <w:autoSpaceDE w:val="0"/>
        <w:autoSpaceDN w:val="0"/>
        <w:adjustRightInd w:val="0"/>
        <w:spacing w:line="360" w:lineRule="auto"/>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公务用车运行支出0万元，完成年初预算的0%，与上年持平。2021年，</w:t>
      </w:r>
      <w:r>
        <w:rPr>
          <w:rFonts w:hint="eastAsia" w:ascii="仿宋_GB2312" w:hAnsi="黑体" w:eastAsia="仿宋_GB2312"/>
          <w:bCs/>
          <w:color w:val="000000"/>
          <w:sz w:val="32"/>
          <w:szCs w:val="32"/>
        </w:rPr>
        <w:t>柳州市低收入居民家庭经济状况核对中心开支财政拨款的公务用车保有量为0辆</w:t>
      </w:r>
      <w:r>
        <w:rPr>
          <w:rFonts w:hint="eastAsia" w:ascii="仿宋_GB2312" w:hAnsi="黑体" w:eastAsia="仿宋_GB2312"/>
          <w:b/>
          <w:color w:val="000000"/>
          <w:sz w:val="32"/>
          <w:szCs w:val="32"/>
        </w:rPr>
        <w:t>，</w:t>
      </w:r>
      <w:r>
        <w:rPr>
          <w:rFonts w:hint="eastAsia" w:ascii="仿宋_GB2312" w:hAnsi="黑体" w:eastAsia="仿宋_GB2312"/>
          <w:bCs/>
          <w:color w:val="000000"/>
          <w:sz w:val="32"/>
          <w:szCs w:val="32"/>
        </w:rPr>
        <w:t>全年运行费支出0万元。</w:t>
      </w:r>
    </w:p>
    <w:p>
      <w:pPr>
        <w:autoSpaceDE w:val="0"/>
        <w:autoSpaceDN w:val="0"/>
        <w:adjustRightInd w:val="0"/>
        <w:spacing w:line="360" w:lineRule="auto"/>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（三）公务接待费支出0万元，完成年初预算的0 %，与上年持平。国内公务接待批次0次，人次0次，国（境）外公务接待批次0次，人次0次。</w:t>
      </w:r>
    </w:p>
    <w:p>
      <w:pPr>
        <w:autoSpaceDE w:val="0"/>
        <w:autoSpaceDN w:val="0"/>
        <w:adjustRightInd w:val="0"/>
        <w:spacing w:line="360" w:lineRule="auto"/>
        <w:ind w:firstLine="627" w:firstLineChars="196"/>
        <w:jc w:val="left"/>
        <w:rPr>
          <w:rFonts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360" w:lineRule="auto"/>
        <w:ind w:firstLine="640" w:firstLineChars="200"/>
        <w:jc w:val="left"/>
        <w:rPr>
          <w:rFonts w:ascii="楷体_GB2312" w:eastAsia="楷体_GB2312" w:cs="仿宋_GB2312"/>
          <w:b w:val="0"/>
          <w:bCs w:val="0"/>
          <w:kern w:val="0"/>
          <w:sz w:val="32"/>
          <w:szCs w:val="32"/>
        </w:rPr>
      </w:pPr>
      <w:r>
        <w:rPr>
          <w:rFonts w:hint="eastAsia" w:ascii="楷体_GB2312" w:eastAsia="楷体_GB2312" w:cs="仿宋_GB2312"/>
          <w:kern w:val="0"/>
          <w:sz w:val="32"/>
          <w:szCs w:val="32"/>
        </w:rPr>
        <w:t>（</w:t>
      </w:r>
      <w:r>
        <w:rPr>
          <w:rFonts w:hint="eastAsia" w:ascii="楷体_GB2312" w:eastAsia="楷体_GB2312" w:cs="仿宋_GB2312"/>
          <w:b w:val="0"/>
          <w:bCs w:val="0"/>
          <w:kern w:val="0"/>
          <w:sz w:val="32"/>
          <w:szCs w:val="32"/>
        </w:rPr>
        <w:t>一）</w:t>
      </w:r>
      <w:r>
        <w:rPr>
          <w:rFonts w:hint="eastAsia" w:ascii="楷体_GB2312" w:eastAsia="楷体_GB2312"/>
          <w:b w:val="0"/>
          <w:bCs w:val="0"/>
          <w:sz w:val="32"/>
          <w:szCs w:val="32"/>
        </w:rPr>
        <w:t xml:space="preserve"> </w:t>
      </w:r>
      <w:r>
        <w:rPr>
          <w:rFonts w:hint="eastAsia" w:ascii="楷体_GB2312" w:eastAsia="楷体_GB2312" w:cs="仿宋_GB2312"/>
          <w:b w:val="0"/>
          <w:bCs w:val="0"/>
          <w:kern w:val="0"/>
          <w:sz w:val="32"/>
          <w:szCs w:val="32"/>
        </w:rPr>
        <w:t>机关运行经费支出情况说明。</w:t>
      </w:r>
    </w:p>
    <w:p>
      <w:pPr>
        <w:autoSpaceDE w:val="0"/>
        <w:autoSpaceDN w:val="0"/>
        <w:adjustRightInd w:val="0"/>
        <w:spacing w:line="360" w:lineRule="auto"/>
        <w:ind w:firstLine="640" w:firstLineChars="200"/>
        <w:jc w:val="left"/>
        <w:rPr>
          <w:rFonts w:ascii="仿宋_GB2312" w:eastAsia="仿宋_GB2312" w:cs="仿宋_GB2312"/>
          <w:b w:val="0"/>
          <w:bCs w:val="0"/>
          <w:kern w:val="0"/>
          <w:sz w:val="32"/>
          <w:szCs w:val="32"/>
        </w:rPr>
      </w:pPr>
      <w:r>
        <w:rPr>
          <w:rFonts w:hint="eastAsia" w:ascii="仿宋_GB2312" w:eastAsia="仿宋_GB2312" w:cs="仿宋_GB2312"/>
          <w:b w:val="0"/>
          <w:bCs w:val="0"/>
          <w:kern w:val="0"/>
          <w:sz w:val="32"/>
          <w:szCs w:val="32"/>
        </w:rPr>
        <w:t>本单位无机关运行经费支出。</w:t>
      </w:r>
    </w:p>
    <w:p>
      <w:pPr>
        <w:autoSpaceDE w:val="0"/>
        <w:autoSpaceDN w:val="0"/>
        <w:adjustRightInd w:val="0"/>
        <w:spacing w:line="360" w:lineRule="auto"/>
        <w:ind w:firstLine="640" w:firstLineChars="200"/>
        <w:jc w:val="left"/>
        <w:rPr>
          <w:rFonts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360" w:lineRule="auto"/>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本单位2021年度政府采购支出总额4.48万元，其中：政府采购货物支出1.48万元、政府采购工程支出0万元、政府采购服务支出3万元。授予中小企业合同金额0万元，占政府采购支出总额的0%，其中：授予小微企业合同金额4.48万元，占政府采购支出总额的100%。</w:t>
      </w:r>
    </w:p>
    <w:p>
      <w:pPr>
        <w:autoSpaceDE w:val="0"/>
        <w:autoSpaceDN w:val="0"/>
        <w:adjustRightInd w:val="0"/>
        <w:spacing w:line="360" w:lineRule="auto"/>
        <w:ind w:firstLine="640" w:firstLineChars="200"/>
        <w:jc w:val="left"/>
        <w:rPr>
          <w:rFonts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360" w:lineRule="auto"/>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截至2021年12月31日，本单位共有车辆0辆；单价50万元 以上通用设备0台（套），单价100 万元以上专用设备0台（套）。 </w:t>
      </w:r>
    </w:p>
    <w:p>
      <w:pPr>
        <w:autoSpaceDE w:val="0"/>
        <w:autoSpaceDN w:val="0"/>
        <w:adjustRightInd w:val="0"/>
        <w:spacing w:line="360" w:lineRule="auto"/>
        <w:ind w:firstLine="640" w:firstLineChars="200"/>
        <w:jc w:val="left"/>
        <w:rPr>
          <w:rFonts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autoSpaceDE w:val="0"/>
        <w:autoSpaceDN w:val="0"/>
        <w:adjustRightInd w:val="0"/>
        <w:spacing w:line="360" w:lineRule="auto"/>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pPr>
        <w:autoSpaceDE w:val="0"/>
        <w:autoSpaceDN w:val="0"/>
        <w:adjustRightInd w:val="0"/>
        <w:spacing w:line="360" w:lineRule="auto"/>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根据财政预算管理要求，我单位组织对2021年度市本级预算部门（单位）整体支出全面开展绩效自评。共涉及资金 237.14万元，占一般公共预算项目支出总额的 100%。</w:t>
      </w:r>
    </w:p>
    <w:p>
      <w:pPr>
        <w:autoSpaceDE w:val="0"/>
        <w:autoSpaceDN w:val="0"/>
        <w:adjustRightInd w:val="0"/>
        <w:spacing w:line="360" w:lineRule="auto"/>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从评价情况来看，市核对中心2021年预算资金执行率为99.8%，结余部分0.47万元为应付聘用人员医疗保险，预计于2022年第一季度支付，总体评价优秀。</w:t>
      </w:r>
    </w:p>
    <w:p>
      <w:pPr>
        <w:autoSpaceDE w:val="0"/>
        <w:autoSpaceDN w:val="0"/>
        <w:adjustRightInd w:val="0"/>
        <w:spacing w:line="360" w:lineRule="auto"/>
        <w:ind w:firstLine="640" w:firstLineChars="200"/>
        <w:jc w:val="left"/>
        <w:rPr>
          <w:rFonts w:hint="eastAsia" w:ascii="仿宋_GB2312" w:eastAsia="仿宋_GB2312" w:cs="仿宋_GB2312"/>
          <w:kern w:val="0"/>
          <w:sz w:val="32"/>
          <w:szCs w:val="32"/>
        </w:rPr>
      </w:pPr>
    </w:p>
    <w:p>
      <w:pPr>
        <w:autoSpaceDE w:val="0"/>
        <w:autoSpaceDN w:val="0"/>
        <w:adjustRightInd w:val="0"/>
        <w:spacing w:line="360" w:lineRule="auto"/>
        <w:ind w:firstLine="640" w:firstLineChars="200"/>
        <w:jc w:val="left"/>
        <w:rPr>
          <w:rFonts w:hint="eastAsia" w:ascii="仿宋_GB2312" w:eastAsia="仿宋_GB2312" w:cs="仿宋_GB2312"/>
          <w:kern w:val="0"/>
          <w:sz w:val="32"/>
          <w:szCs w:val="32"/>
        </w:rPr>
      </w:pPr>
    </w:p>
    <w:p>
      <w:pPr>
        <w:autoSpaceDE w:val="0"/>
        <w:autoSpaceDN w:val="0"/>
        <w:adjustRightInd w:val="0"/>
        <w:spacing w:line="360" w:lineRule="auto"/>
        <w:ind w:firstLine="640" w:firstLineChars="200"/>
        <w:jc w:val="left"/>
        <w:rPr>
          <w:rFonts w:ascii="仿宋_GB2312" w:eastAsia="仿宋_GB2312" w:cs="仿宋_GB2312"/>
          <w:kern w:val="0"/>
          <w:sz w:val="32"/>
          <w:szCs w:val="32"/>
        </w:rPr>
      </w:pPr>
    </w:p>
    <w:p>
      <w:pPr>
        <w:autoSpaceDE w:val="0"/>
        <w:autoSpaceDN w:val="0"/>
        <w:adjustRightInd w:val="0"/>
        <w:spacing w:line="360" w:lineRule="auto"/>
        <w:ind w:firstLine="640" w:firstLineChars="200"/>
        <w:jc w:val="left"/>
        <w:rPr>
          <w:rFonts w:ascii="仿宋_GB2312" w:eastAsia="仿宋_GB2312" w:cs="仿宋_GB2312"/>
          <w:kern w:val="0"/>
          <w:sz w:val="32"/>
          <w:szCs w:val="32"/>
        </w:rPr>
      </w:pPr>
    </w:p>
    <w:p>
      <w:pPr>
        <w:autoSpaceDE w:val="0"/>
        <w:autoSpaceDN w:val="0"/>
        <w:adjustRightInd w:val="0"/>
        <w:spacing w:line="360" w:lineRule="auto"/>
        <w:ind w:firstLine="640" w:firstLineChars="200"/>
        <w:jc w:val="left"/>
        <w:rPr>
          <w:rFonts w:ascii="仿宋_GB2312" w:eastAsia="仿宋_GB2312" w:cs="仿宋_GB2312"/>
          <w:kern w:val="0"/>
          <w:sz w:val="32"/>
          <w:szCs w:val="32"/>
        </w:rPr>
      </w:pPr>
    </w:p>
    <w:p>
      <w:pPr>
        <w:autoSpaceDE w:val="0"/>
        <w:autoSpaceDN w:val="0"/>
        <w:adjustRightInd w:val="0"/>
        <w:spacing w:line="360" w:lineRule="auto"/>
        <w:ind w:firstLine="640" w:firstLineChars="200"/>
        <w:jc w:val="left"/>
        <w:rPr>
          <w:rFonts w:ascii="仿宋_GB2312" w:eastAsia="仿宋_GB2312" w:cs="仿宋_GB2312"/>
          <w:kern w:val="0"/>
          <w:sz w:val="32"/>
          <w:szCs w:val="32"/>
        </w:rPr>
      </w:pPr>
    </w:p>
    <w:p>
      <w:pPr>
        <w:autoSpaceDE w:val="0"/>
        <w:autoSpaceDN w:val="0"/>
        <w:adjustRightInd w:val="0"/>
        <w:spacing w:line="360" w:lineRule="auto"/>
        <w:ind w:firstLine="640" w:firstLineChars="200"/>
        <w:jc w:val="left"/>
        <w:rPr>
          <w:rFonts w:ascii="仿宋_GB2312" w:eastAsia="仿宋_GB2312" w:cs="仿宋_GB2312"/>
          <w:kern w:val="0"/>
          <w:sz w:val="32"/>
          <w:szCs w:val="32"/>
        </w:rPr>
      </w:pPr>
    </w:p>
    <w:p>
      <w:pPr>
        <w:autoSpaceDE w:val="0"/>
        <w:autoSpaceDN w:val="0"/>
        <w:adjustRightInd w:val="0"/>
        <w:spacing w:line="360" w:lineRule="auto"/>
        <w:ind w:firstLine="640" w:firstLineChars="200"/>
        <w:jc w:val="left"/>
        <w:rPr>
          <w:rFonts w:ascii="仿宋_GB2312" w:eastAsia="仿宋_GB2312" w:cs="仿宋_GB2312"/>
          <w:kern w:val="0"/>
          <w:sz w:val="32"/>
          <w:szCs w:val="32"/>
        </w:rPr>
      </w:pPr>
    </w:p>
    <w:p>
      <w:pPr>
        <w:autoSpaceDE w:val="0"/>
        <w:autoSpaceDN w:val="0"/>
        <w:adjustRightInd w:val="0"/>
        <w:spacing w:line="360" w:lineRule="auto"/>
        <w:ind w:firstLine="640" w:firstLineChars="200"/>
        <w:jc w:val="left"/>
        <w:rPr>
          <w:rFonts w:ascii="仿宋_GB2312" w:eastAsia="仿宋_GB2312" w:cs="仿宋_GB2312"/>
          <w:kern w:val="0"/>
          <w:sz w:val="32"/>
          <w:szCs w:val="32"/>
        </w:rPr>
      </w:pPr>
    </w:p>
    <w:p>
      <w:pPr>
        <w:autoSpaceDE w:val="0"/>
        <w:autoSpaceDN w:val="0"/>
        <w:adjustRightInd w:val="0"/>
        <w:spacing w:line="360" w:lineRule="auto"/>
        <w:ind w:firstLine="640" w:firstLineChars="200"/>
        <w:jc w:val="left"/>
        <w:rPr>
          <w:rFonts w:ascii="仿宋_GB2312" w:eastAsia="仿宋_GB2312" w:cs="仿宋_GB2312"/>
          <w:kern w:val="0"/>
          <w:sz w:val="32"/>
          <w:szCs w:val="32"/>
        </w:rPr>
      </w:pPr>
    </w:p>
    <w:p>
      <w:pPr>
        <w:autoSpaceDE w:val="0"/>
        <w:autoSpaceDN w:val="0"/>
        <w:adjustRightInd w:val="0"/>
        <w:spacing w:line="360" w:lineRule="auto"/>
        <w:ind w:firstLine="640" w:firstLineChars="200"/>
        <w:jc w:val="left"/>
        <w:rPr>
          <w:rFonts w:ascii="仿宋_GB2312" w:eastAsia="仿宋_GB2312" w:cs="仿宋_GB2312"/>
          <w:kern w:val="0"/>
          <w:sz w:val="32"/>
          <w:szCs w:val="32"/>
        </w:rPr>
      </w:pPr>
    </w:p>
    <w:p>
      <w:pPr>
        <w:autoSpaceDE w:val="0"/>
        <w:autoSpaceDN w:val="0"/>
        <w:adjustRightInd w:val="0"/>
        <w:spacing w:line="360" w:lineRule="auto"/>
        <w:ind w:firstLine="640" w:firstLineChars="200"/>
        <w:jc w:val="left"/>
        <w:rPr>
          <w:rFonts w:ascii="仿宋_GB2312" w:eastAsia="仿宋_GB2312" w:cs="仿宋_GB2312"/>
          <w:kern w:val="0"/>
          <w:sz w:val="32"/>
          <w:szCs w:val="32"/>
        </w:rPr>
      </w:pPr>
    </w:p>
    <w:p>
      <w:pPr>
        <w:spacing w:line="360" w:lineRule="auto"/>
        <w:ind w:firstLine="645"/>
        <w:rPr>
          <w:rFonts w:ascii="仿宋_GB2312" w:eastAsia="仿宋_GB2312"/>
          <w:b/>
          <w:sz w:val="32"/>
          <w:szCs w:val="32"/>
        </w:rPr>
      </w:pPr>
      <w:r>
        <w:rPr>
          <w:rFonts w:hint="eastAsia" w:ascii="仿宋_GB2312" w:eastAsia="仿宋_GB2312"/>
          <w:b/>
          <w:sz w:val="32"/>
          <w:szCs w:val="32"/>
        </w:rPr>
        <w:t>第四部分：名词解释</w:t>
      </w:r>
    </w:p>
    <w:p>
      <w:pPr>
        <w:spacing w:line="360" w:lineRule="auto"/>
        <w:ind w:firstLine="640"/>
        <w:rPr>
          <w:rFonts w:ascii="仿宋_GB2312" w:eastAsia="仿宋_GB2312"/>
          <w:sz w:val="32"/>
          <w:szCs w:val="32"/>
        </w:rPr>
      </w:pPr>
      <w:r>
        <w:rPr>
          <w:rFonts w:hint="eastAsia" w:ascii="仿宋_GB2312" w:eastAsia="仿宋_GB2312"/>
          <w:sz w:val="32"/>
          <w:szCs w:val="32"/>
        </w:rPr>
        <w:t xml:space="preserve">一、财政拨款收入：指柳州市财政部门当年拨付的资金。 </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spacing w:line="360" w:lineRule="auto"/>
        <w:ind w:firstLine="640"/>
        <w:rPr>
          <w:rFonts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spacing w:line="360" w:lineRule="auto"/>
        <w:ind w:firstLine="640"/>
        <w:rPr>
          <w:rFonts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十二、“三公”经费：纳入柳州市财政预决算管理的“三公”经费，是指柳州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ind w:firstLine="640" w:firstLineChars="200"/>
        <w:rPr>
          <w:rFonts w:ascii="仿宋_GB2312" w:eastAsia="仿宋_GB2312" w:cs="仿宋_GB2312"/>
          <w:kern w:val="0"/>
          <w:sz w:val="32"/>
          <w:szCs w:val="32"/>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- 8 -</w:t>
    </w:r>
    <w:r>
      <w:rPr>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hjNDNkODRjZTUyODY5NDBlZDQxOWMwN2RjODhiODIifQ=="/>
  </w:docVars>
  <w:rsids>
    <w:rsidRoot w:val="4C256E3D"/>
    <w:rsid w:val="0004235B"/>
    <w:rsid w:val="00066CA3"/>
    <w:rsid w:val="000B0ED6"/>
    <w:rsid w:val="001C3DBB"/>
    <w:rsid w:val="00307ABF"/>
    <w:rsid w:val="00312783"/>
    <w:rsid w:val="004C6C5E"/>
    <w:rsid w:val="004E6037"/>
    <w:rsid w:val="004F6366"/>
    <w:rsid w:val="00536827"/>
    <w:rsid w:val="00570CB9"/>
    <w:rsid w:val="00663BBE"/>
    <w:rsid w:val="006901FB"/>
    <w:rsid w:val="00694855"/>
    <w:rsid w:val="006C1367"/>
    <w:rsid w:val="00715385"/>
    <w:rsid w:val="00765E80"/>
    <w:rsid w:val="00785837"/>
    <w:rsid w:val="00877865"/>
    <w:rsid w:val="008E28BA"/>
    <w:rsid w:val="009C491C"/>
    <w:rsid w:val="009D3E39"/>
    <w:rsid w:val="00A02FFD"/>
    <w:rsid w:val="00A15F5B"/>
    <w:rsid w:val="00A20712"/>
    <w:rsid w:val="00C94382"/>
    <w:rsid w:val="00D82F49"/>
    <w:rsid w:val="00EE393E"/>
    <w:rsid w:val="00EF602D"/>
    <w:rsid w:val="00F0660E"/>
    <w:rsid w:val="00F66C5B"/>
    <w:rsid w:val="05352423"/>
    <w:rsid w:val="094B45FA"/>
    <w:rsid w:val="0A0C33E4"/>
    <w:rsid w:val="0A54236B"/>
    <w:rsid w:val="0B424B1D"/>
    <w:rsid w:val="0DA86951"/>
    <w:rsid w:val="0E074DDF"/>
    <w:rsid w:val="0F0F5ED6"/>
    <w:rsid w:val="124204B5"/>
    <w:rsid w:val="14F016D4"/>
    <w:rsid w:val="15823E15"/>
    <w:rsid w:val="1612602D"/>
    <w:rsid w:val="16B90A0F"/>
    <w:rsid w:val="182962AB"/>
    <w:rsid w:val="19D073EB"/>
    <w:rsid w:val="1A650904"/>
    <w:rsid w:val="1CC31F67"/>
    <w:rsid w:val="2249565E"/>
    <w:rsid w:val="24D337DC"/>
    <w:rsid w:val="26460DBA"/>
    <w:rsid w:val="2B6F74EB"/>
    <w:rsid w:val="2C1F0B15"/>
    <w:rsid w:val="2C4219FE"/>
    <w:rsid w:val="335718FE"/>
    <w:rsid w:val="34020F86"/>
    <w:rsid w:val="341361ED"/>
    <w:rsid w:val="366B3B01"/>
    <w:rsid w:val="39A63F06"/>
    <w:rsid w:val="3C017E2C"/>
    <w:rsid w:val="3E6F4772"/>
    <w:rsid w:val="3EA872B2"/>
    <w:rsid w:val="3ED1439F"/>
    <w:rsid w:val="42235D58"/>
    <w:rsid w:val="44500BF5"/>
    <w:rsid w:val="44560C84"/>
    <w:rsid w:val="47F43786"/>
    <w:rsid w:val="48374EDC"/>
    <w:rsid w:val="4C256E3D"/>
    <w:rsid w:val="4CB52F0F"/>
    <w:rsid w:val="4E2875DF"/>
    <w:rsid w:val="50C04C3A"/>
    <w:rsid w:val="532F1F9A"/>
    <w:rsid w:val="559117FB"/>
    <w:rsid w:val="57931D57"/>
    <w:rsid w:val="5DBB25AC"/>
    <w:rsid w:val="5E995A3E"/>
    <w:rsid w:val="5F933EA7"/>
    <w:rsid w:val="5F95061E"/>
    <w:rsid w:val="5FC1266C"/>
    <w:rsid w:val="600504C3"/>
    <w:rsid w:val="617E254E"/>
    <w:rsid w:val="62163194"/>
    <w:rsid w:val="624D024D"/>
    <w:rsid w:val="630A7B7A"/>
    <w:rsid w:val="650E086A"/>
    <w:rsid w:val="6BAA0708"/>
    <w:rsid w:val="70046E9D"/>
    <w:rsid w:val="72231A60"/>
    <w:rsid w:val="743631A3"/>
    <w:rsid w:val="75AF6C8B"/>
    <w:rsid w:val="77474C4B"/>
    <w:rsid w:val="7E3D3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 w:type="character" w:customStyle="1" w:styleId="11">
    <w:name w:val="font2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4584</Words>
  <Characters>5047</Characters>
  <Lines>57</Lines>
  <Paragraphs>16</Paragraphs>
  <TotalTime>2</TotalTime>
  <ScaleCrop>false</ScaleCrop>
  <LinksUpToDate>false</LinksUpToDate>
  <CharactersWithSpaces>5080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2022-08-08T02:58:00Z</dcterms:created>
  <dc:creator>陈冬雪</dc:creator>
  <cp:lastModifiedBy>哒哒陳</cp:lastModifiedBy>
  <cp:lastPrinted>2022-08-15T07:32:00Z</cp:lastPrinted>
  <dcterms:modified xsi:type="dcterms:W3CDTF">2022-09-20T09:20:17Z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77969C467C74472CB6447C3E1B22A7AA</vt:lpwstr>
  </property>
</Properties>
</file>