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jc w:val="center"/>
        <w:rPr>
          <w:rStyle w:val="4"/>
          <w:rFonts w:hint="eastAsia" w:ascii="宋体" w:hAnsi="宋体" w:eastAsia="宋体" w:cs="宋体"/>
          <w:kern w:val="0"/>
          <w:sz w:val="44"/>
          <w:szCs w:val="44"/>
          <w:lang w:val="en-US" w:eastAsia="zh-CN" w:bidi="ar"/>
        </w:rPr>
      </w:pPr>
    </w:p>
    <w:p>
      <w:pPr>
        <w:keepNext w:val="0"/>
        <w:keepLines w:val="0"/>
        <w:widowControl/>
        <w:suppressLineNumbers w:val="0"/>
        <w:spacing w:before="0" w:beforeAutospacing="1" w:after="0" w:afterAutospacing="1"/>
        <w:ind w:left="0" w:right="0"/>
        <w:jc w:val="center"/>
        <w:rPr>
          <w:rStyle w:val="4"/>
          <w:rFonts w:hint="eastAsia" w:ascii="宋体" w:hAnsi="宋体" w:eastAsia="宋体" w:cs="宋体"/>
          <w:kern w:val="0"/>
          <w:sz w:val="44"/>
          <w:szCs w:val="44"/>
          <w:lang w:val="en-US" w:eastAsia="zh-CN" w:bidi="ar"/>
        </w:rPr>
      </w:pPr>
    </w:p>
    <w:p>
      <w:pPr>
        <w:keepNext w:val="0"/>
        <w:keepLines w:val="0"/>
        <w:widowControl/>
        <w:suppressLineNumbers w:val="0"/>
        <w:spacing w:before="0" w:beforeAutospacing="1" w:after="0" w:afterAutospacing="1"/>
        <w:ind w:left="0" w:right="0"/>
        <w:jc w:val="center"/>
        <w:rPr>
          <w:rStyle w:val="4"/>
          <w:rFonts w:hint="eastAsia" w:ascii="宋体" w:hAnsi="宋体" w:eastAsia="宋体" w:cs="宋体"/>
          <w:kern w:val="0"/>
          <w:sz w:val="44"/>
          <w:szCs w:val="44"/>
          <w:lang w:val="en-US" w:eastAsia="zh-CN" w:bidi="ar"/>
        </w:rPr>
      </w:pPr>
    </w:p>
    <w:p>
      <w:pPr>
        <w:keepNext w:val="0"/>
        <w:keepLines w:val="0"/>
        <w:widowControl/>
        <w:suppressLineNumbers w:val="0"/>
        <w:spacing w:before="0" w:beforeAutospacing="1" w:after="0" w:afterAutospacing="1"/>
        <w:ind w:left="0" w:right="0"/>
        <w:jc w:val="center"/>
        <w:rPr>
          <w:rStyle w:val="4"/>
          <w:rFonts w:hint="eastAsia" w:ascii="宋体" w:hAnsi="宋体" w:eastAsia="宋体" w:cs="宋体"/>
          <w:kern w:val="0"/>
          <w:sz w:val="44"/>
          <w:szCs w:val="44"/>
          <w:lang w:val="en-US" w:eastAsia="zh-CN" w:bidi="ar"/>
        </w:rPr>
      </w:pPr>
    </w:p>
    <w:p>
      <w:pPr>
        <w:keepNext w:val="0"/>
        <w:keepLines w:val="0"/>
        <w:widowControl/>
        <w:suppressLineNumbers w:val="0"/>
        <w:spacing w:before="0" w:beforeAutospacing="1" w:after="0" w:afterAutospacing="1"/>
        <w:ind w:left="0" w:right="0"/>
        <w:jc w:val="center"/>
        <w:rPr>
          <w:rStyle w:val="4"/>
          <w:rFonts w:hint="eastAsia" w:ascii="宋体" w:hAnsi="宋体" w:eastAsia="宋体" w:cs="宋体"/>
          <w:kern w:val="0"/>
          <w:sz w:val="44"/>
          <w:szCs w:val="44"/>
          <w:lang w:val="en-US" w:eastAsia="zh-CN" w:bidi="ar"/>
        </w:rPr>
      </w:pPr>
    </w:p>
    <w:p>
      <w:pPr>
        <w:keepNext w:val="0"/>
        <w:keepLines w:val="0"/>
        <w:widowControl/>
        <w:suppressLineNumbers w:val="0"/>
        <w:spacing w:before="0" w:beforeAutospacing="1" w:after="0" w:afterAutospacing="1"/>
        <w:ind w:left="0" w:right="0"/>
        <w:jc w:val="center"/>
        <w:rPr>
          <w:rFonts w:hint="eastAsia" w:ascii="宋体" w:hAnsi="宋体" w:eastAsia="宋体" w:cs="宋体"/>
          <w:sz w:val="44"/>
          <w:szCs w:val="44"/>
        </w:rPr>
      </w:pPr>
      <w:r>
        <w:rPr>
          <w:rStyle w:val="4"/>
          <w:rFonts w:hint="eastAsia" w:ascii="宋体" w:hAnsi="宋体" w:eastAsia="宋体" w:cs="宋体"/>
          <w:kern w:val="0"/>
          <w:sz w:val="44"/>
          <w:szCs w:val="44"/>
          <w:lang w:val="en-US" w:eastAsia="zh-CN" w:bidi="ar"/>
        </w:rPr>
        <w:t>柳州铁道职业技术学院</w:t>
      </w:r>
      <w:r>
        <w:rPr>
          <w:rFonts w:hint="eastAsia" w:ascii="宋体" w:hAnsi="宋体" w:eastAsia="宋体" w:cs="宋体"/>
          <w:kern w:val="0"/>
          <w:sz w:val="44"/>
          <w:szCs w:val="44"/>
          <w:lang w:val="en-US" w:eastAsia="zh-CN" w:bidi="ar"/>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sz w:val="44"/>
          <w:szCs w:val="44"/>
        </w:rPr>
      </w:pPr>
      <w:r>
        <w:rPr>
          <w:rStyle w:val="4"/>
          <w:rFonts w:hint="eastAsia" w:ascii="宋体" w:hAnsi="宋体" w:eastAsia="宋体" w:cs="宋体"/>
          <w:kern w:val="0"/>
          <w:sz w:val="44"/>
          <w:szCs w:val="44"/>
          <w:lang w:val="en-US" w:eastAsia="zh-CN" w:bidi="ar"/>
        </w:rPr>
        <w:t>2020年度</w:t>
      </w:r>
      <w:r>
        <w:rPr>
          <w:rStyle w:val="4"/>
          <w:rFonts w:hint="eastAsia" w:ascii="宋体" w:hAnsi="宋体" w:eastAsia="宋体" w:cs="宋体"/>
          <w:kern w:val="0"/>
          <w:sz w:val="44"/>
          <w:szCs w:val="44"/>
          <w:lang w:val="en-US" w:eastAsia="zh-CN" w:bidi="ar"/>
        </w:rPr>
        <w:t>单位</w:t>
      </w:r>
      <w:r>
        <w:rPr>
          <w:rStyle w:val="4"/>
          <w:rFonts w:hint="eastAsia" w:ascii="宋体" w:hAnsi="宋体" w:eastAsia="宋体" w:cs="宋体"/>
          <w:kern w:val="0"/>
          <w:sz w:val="44"/>
          <w:szCs w:val="44"/>
          <w:lang w:val="en-US" w:eastAsia="zh-CN" w:bidi="ar"/>
        </w:rPr>
        <w:t>决算</w:t>
      </w:r>
      <w:r>
        <w:rPr>
          <w:rFonts w:hint="eastAsia" w:ascii="宋体" w:hAnsi="宋体" w:eastAsia="宋体" w:cs="宋体"/>
          <w:kern w:val="0"/>
          <w:sz w:val="44"/>
          <w:szCs w:val="44"/>
          <w:lang w:val="en-US" w:eastAsia="zh-CN" w:bidi="ar"/>
        </w:rPr>
        <w:t xml:space="preserve"> </w:t>
      </w: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firstLine="646"/>
        <w:jc w:val="center"/>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目    录</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 </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第一部分：柳州铁道职业技术学院概况</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一、主要职能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w:t>
      </w:r>
      <w:r>
        <w:rPr>
          <w:rFonts w:hint="eastAsia" w:ascii="宋体" w:hAnsi="宋体" w:eastAsia="宋体" w:cs="宋体"/>
          <w:kern w:val="0"/>
          <w:sz w:val="28"/>
          <w:szCs w:val="28"/>
          <w:lang w:val="en-US" w:eastAsia="zh-CN" w:bidi="ar"/>
        </w:rPr>
        <w:t>单位</w:t>
      </w:r>
      <w:r>
        <w:rPr>
          <w:rFonts w:hint="eastAsia" w:ascii="宋体" w:hAnsi="宋体" w:eastAsia="宋体" w:cs="宋体"/>
          <w:kern w:val="0"/>
          <w:sz w:val="28"/>
          <w:szCs w:val="28"/>
          <w:lang w:val="en-US" w:eastAsia="zh-CN" w:bidi="ar"/>
        </w:rPr>
        <w:t xml:space="preserve">决算单位构成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第二部分：柳州铁道职业技术学院2020年</w:t>
      </w:r>
      <w:r>
        <w:rPr>
          <w:rFonts w:hint="eastAsia" w:ascii="宋体" w:hAnsi="宋体" w:eastAsia="宋体" w:cs="宋体"/>
          <w:b/>
          <w:bCs/>
          <w:kern w:val="0"/>
          <w:sz w:val="28"/>
          <w:szCs w:val="28"/>
          <w:lang w:val="en-US" w:eastAsia="zh-CN" w:bidi="ar"/>
        </w:rPr>
        <w:t>单位</w:t>
      </w:r>
      <w:r>
        <w:rPr>
          <w:rFonts w:hint="eastAsia" w:ascii="宋体" w:hAnsi="宋体" w:eastAsia="宋体" w:cs="宋体"/>
          <w:b/>
          <w:bCs/>
          <w:kern w:val="0"/>
          <w:sz w:val="28"/>
          <w:szCs w:val="28"/>
          <w:lang w:val="en-US" w:eastAsia="zh-CN" w:bidi="ar"/>
        </w:rPr>
        <w:t>决算报表</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1" w:after="0" w:afterAutospacing="1"/>
        <w:ind w:left="645"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表一：收入支出决算总表 </w:t>
      </w:r>
    </w:p>
    <w:p>
      <w:pPr>
        <w:keepNext w:val="0"/>
        <w:keepLines w:val="0"/>
        <w:widowControl/>
        <w:suppressLineNumbers w:val="0"/>
        <w:spacing w:before="0" w:beforeAutospacing="1" w:after="0" w:afterAutospacing="1"/>
        <w:ind w:left="645"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表二：收入决算表 </w:t>
      </w:r>
    </w:p>
    <w:p>
      <w:pPr>
        <w:keepNext w:val="0"/>
        <w:keepLines w:val="0"/>
        <w:widowControl/>
        <w:suppressLineNumbers w:val="0"/>
        <w:spacing w:before="0" w:beforeAutospacing="1" w:after="0" w:afterAutospacing="1"/>
        <w:ind w:left="645"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表三：支出决算表 </w:t>
      </w:r>
    </w:p>
    <w:p>
      <w:pPr>
        <w:keepNext w:val="0"/>
        <w:keepLines w:val="0"/>
        <w:widowControl/>
        <w:suppressLineNumbers w:val="0"/>
        <w:spacing w:before="0" w:beforeAutospacing="1" w:after="0" w:afterAutospacing="1"/>
        <w:ind w:left="645"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表四：财政拨款收入支出决算总表 </w:t>
      </w:r>
    </w:p>
    <w:p>
      <w:pPr>
        <w:keepNext w:val="0"/>
        <w:keepLines w:val="0"/>
        <w:widowControl/>
        <w:suppressLineNumbers w:val="0"/>
        <w:spacing w:before="0" w:beforeAutospacing="1" w:after="0" w:afterAutospacing="1"/>
        <w:ind w:left="645"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表五：一般公共预算财政拨款支出决算表 </w:t>
      </w:r>
    </w:p>
    <w:p>
      <w:pPr>
        <w:keepNext w:val="0"/>
        <w:keepLines w:val="0"/>
        <w:widowControl/>
        <w:suppressLineNumbers w:val="0"/>
        <w:spacing w:before="0" w:beforeAutospacing="1" w:after="0" w:afterAutospacing="1"/>
        <w:ind w:left="645"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表六：一般公共预算财政拨款基本支出决算表 </w:t>
      </w:r>
    </w:p>
    <w:p>
      <w:pPr>
        <w:keepNext w:val="0"/>
        <w:keepLines w:val="0"/>
        <w:widowControl/>
        <w:suppressLineNumbers w:val="0"/>
        <w:spacing w:before="0" w:beforeAutospacing="1" w:after="0" w:afterAutospacing="1"/>
        <w:ind w:left="645"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表七：一般公共预算财政拨款安排的“三公”经费支出决算表 </w:t>
      </w:r>
    </w:p>
    <w:p>
      <w:pPr>
        <w:keepNext w:val="0"/>
        <w:keepLines w:val="0"/>
        <w:widowControl/>
        <w:suppressLineNumbers w:val="0"/>
        <w:spacing w:before="0" w:beforeAutospacing="1" w:after="0" w:afterAutospacing="1"/>
        <w:ind w:left="645"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表八：政府性基金预算财政拨款收入支出决算表 </w:t>
      </w:r>
    </w:p>
    <w:p>
      <w:pPr>
        <w:keepNext w:val="0"/>
        <w:keepLines w:val="0"/>
        <w:widowControl/>
        <w:suppressLineNumbers w:val="0"/>
        <w:spacing w:before="0" w:beforeAutospacing="1" w:after="0" w:afterAutospacing="1"/>
        <w:ind w:left="645"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表九：国有资本经营预算财政拨款支出决算表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第三部分：柳州铁道职业技术学院2020年度</w:t>
      </w:r>
      <w:r>
        <w:rPr>
          <w:rFonts w:hint="eastAsia" w:ascii="宋体" w:hAnsi="宋体" w:eastAsia="宋体" w:cs="宋体"/>
          <w:b/>
          <w:bCs/>
          <w:kern w:val="0"/>
          <w:sz w:val="28"/>
          <w:szCs w:val="28"/>
          <w:lang w:val="en-US" w:eastAsia="zh-CN" w:bidi="ar"/>
        </w:rPr>
        <w:t>单位</w:t>
      </w:r>
      <w:r>
        <w:rPr>
          <w:rFonts w:hint="eastAsia" w:ascii="宋体" w:hAnsi="宋体" w:eastAsia="宋体" w:cs="宋体"/>
          <w:b/>
          <w:bCs/>
          <w:kern w:val="0"/>
          <w:sz w:val="28"/>
          <w:szCs w:val="28"/>
          <w:lang w:val="en-US" w:eastAsia="zh-CN" w:bidi="ar"/>
        </w:rPr>
        <w:t>决算情况说明</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一、2020 年度收入支出决算总体情况。 </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二、2020 年度收入决算情况。 </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三、2020 年度支出决算情况 </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四、2020年度财政拨款收入支出决算情况 </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五、2020 年度一般公共预算财政拨款支出决算情况 </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六、2020 年度一般公共预算财政拨款基本支出决算情况 </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七、2020 年度一般公共预算财政拨款“三公”经费支出决算情况 </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八、2020 年度政府性基金预算财政拨款收入支出决算情况 </w:t>
      </w:r>
    </w:p>
    <w:p>
      <w:pPr>
        <w:keepNext w:val="0"/>
        <w:keepLines w:val="0"/>
        <w:widowControl/>
        <w:suppressLineNumbers w:val="0"/>
        <w:spacing w:before="0" w:beforeAutospacing="1" w:after="0" w:afterAutospacing="1"/>
        <w:ind w:left="645"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九、国有资本经营预算财政拨款支出决算情况 </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十、2020 年度预算绩效情况说明 </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十一、其他重要事项的情况说明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kern w:val="0"/>
          <w:sz w:val="28"/>
          <w:szCs w:val="28"/>
          <w:lang w:val="en-US" w:eastAsia="zh-CN" w:bidi="ar"/>
        </w:rPr>
      </w:pPr>
      <w:r>
        <w:rPr>
          <w:rFonts w:hint="eastAsia" w:ascii="宋体" w:hAnsi="宋体" w:eastAsia="宋体" w:cs="宋体"/>
          <w:b/>
          <w:bCs/>
          <w:kern w:val="0"/>
          <w:sz w:val="28"/>
          <w:szCs w:val="28"/>
          <w:lang w:val="en-US" w:eastAsia="zh-CN" w:bidi="ar"/>
        </w:rPr>
        <w:t>第四部分：名词解释</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1" w:after="0" w:afterAutospacing="1"/>
        <w:ind w:right="0"/>
        <w:jc w:val="both"/>
        <w:rPr>
          <w:rFonts w:hint="eastAsia" w:ascii="宋体" w:hAnsi="宋体" w:eastAsia="宋体" w:cs="宋体"/>
          <w:kern w:val="0"/>
          <w:sz w:val="28"/>
          <w:szCs w:val="28"/>
          <w:lang w:val="en-US" w:eastAsia="zh-CN" w:bidi="ar"/>
        </w:rPr>
      </w:pPr>
    </w:p>
    <w:p>
      <w:pPr>
        <w:keepNext w:val="0"/>
        <w:keepLines w:val="0"/>
        <w:widowControl/>
        <w:suppressLineNumbers w:val="0"/>
        <w:spacing w:before="0" w:beforeAutospacing="1" w:after="0" w:afterAutospacing="1"/>
        <w:ind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br w:type="textWrapping"/>
      </w:r>
      <w:r>
        <w:rPr>
          <w:rFonts w:hint="eastAsia" w:ascii="宋体" w:hAnsi="宋体" w:eastAsia="宋体" w:cs="宋体"/>
          <w:b/>
          <w:bCs/>
          <w:kern w:val="0"/>
          <w:sz w:val="28"/>
          <w:szCs w:val="28"/>
          <w:lang w:val="en-US" w:eastAsia="zh-CN" w:bidi="ar"/>
        </w:rPr>
        <w:t>第一部分：柳州铁道职业技术学院概况</w:t>
      </w:r>
    </w:p>
    <w:p>
      <w:pPr>
        <w:keepNext w:val="0"/>
        <w:keepLines w:val="0"/>
        <w:widowControl/>
        <w:suppressLineNumbers w:val="0"/>
        <w:spacing w:before="0" w:beforeAutospacing="1" w:after="0" w:afterAutospacing="1"/>
        <w:ind w:left="0" w:right="0" w:firstLine="646"/>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一、主要职能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本单位主要职能有：学历教育、岗位培训、职业技能鉴定、联办远程教育及专利技术转让等。 </w:t>
      </w:r>
    </w:p>
    <w:p>
      <w:pPr>
        <w:keepNext w:val="0"/>
        <w:keepLines w:val="0"/>
        <w:widowControl/>
        <w:suppressLineNumbers w:val="0"/>
        <w:spacing w:before="0" w:beforeAutospacing="1" w:after="0" w:afterAutospacing="1"/>
        <w:ind w:left="0" w:right="0" w:firstLine="646"/>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w:t>
      </w:r>
      <w:r>
        <w:rPr>
          <w:rFonts w:hint="eastAsia" w:ascii="宋体" w:hAnsi="宋体" w:eastAsia="宋体" w:cs="宋体"/>
          <w:kern w:val="0"/>
          <w:sz w:val="28"/>
          <w:szCs w:val="28"/>
          <w:lang w:val="en-US" w:eastAsia="zh-CN" w:bidi="ar"/>
        </w:rPr>
        <w:t>单位</w:t>
      </w:r>
      <w:r>
        <w:rPr>
          <w:rFonts w:hint="eastAsia" w:ascii="宋体" w:hAnsi="宋体" w:eastAsia="宋体" w:cs="宋体"/>
          <w:kern w:val="0"/>
          <w:sz w:val="28"/>
          <w:szCs w:val="28"/>
          <w:lang w:val="en-US" w:eastAsia="zh-CN" w:bidi="ar"/>
        </w:rPr>
        <w:t xml:space="preserve">决算单位构成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本单位设立有书记室、校长室；有17个教辅、行政、后勤服务性质的党政机构职能部门；9个教学单位；2个直属单位：行指委及职教集团秘书处。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kern w:val="0"/>
          <w:sz w:val="28"/>
          <w:szCs w:val="28"/>
          <w:lang w:val="en-US" w:eastAsia="zh-CN" w:bidi="ar"/>
        </w:rPr>
      </w:pP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第二部分：柳州铁道职业技术学院2020年</w:t>
      </w:r>
      <w:r>
        <w:rPr>
          <w:rFonts w:hint="eastAsia" w:ascii="宋体" w:hAnsi="宋体" w:eastAsia="宋体" w:cs="宋体"/>
          <w:b/>
          <w:bCs/>
          <w:kern w:val="0"/>
          <w:sz w:val="28"/>
          <w:szCs w:val="28"/>
          <w:lang w:val="en-US" w:eastAsia="zh-CN" w:bidi="ar"/>
        </w:rPr>
        <w:t>单位</w:t>
      </w:r>
      <w:r>
        <w:rPr>
          <w:rFonts w:hint="eastAsia" w:ascii="宋体" w:hAnsi="宋体" w:eastAsia="宋体" w:cs="宋体"/>
          <w:b/>
          <w:bCs/>
          <w:kern w:val="0"/>
          <w:sz w:val="28"/>
          <w:szCs w:val="28"/>
          <w:lang w:val="en-US" w:eastAsia="zh-CN" w:bidi="ar"/>
        </w:rPr>
        <w:t>决算报表</w:t>
      </w:r>
      <w:r>
        <w:rPr>
          <w:rFonts w:hint="eastAsia" w:ascii="宋体" w:hAnsi="宋体" w:eastAsia="宋体" w:cs="宋体"/>
          <w:kern w:val="0"/>
          <w:sz w:val="28"/>
          <w:szCs w:val="28"/>
          <w:lang w:val="en-US" w:eastAsia="zh-CN" w:bidi="ar"/>
        </w:rPr>
        <w:t xml:space="preserve"> </w:t>
      </w:r>
    </w:p>
    <w:tbl>
      <w:tblPr>
        <w:tblStyle w:val="2"/>
        <w:tblW w:w="872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864"/>
        <w:gridCol w:w="1311"/>
        <w:gridCol w:w="2908"/>
        <w:gridCol w:w="1397"/>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40" w:type="dxa"/>
          <w:tblCellSpacing w:w="0" w:type="dxa"/>
          <w:jc w:val="center"/>
        </w:trPr>
        <w:tc>
          <w:tcPr>
            <w:tcW w:w="8480" w:type="dxa"/>
            <w:gridSpan w:val="4"/>
            <w:shd w:val="clear" w:color="auto" w:fill="auto"/>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表一：收入支出决算总表 </w:t>
            </w:r>
          </w:p>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417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firstLine="40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收    入 </w:t>
            </w:r>
          </w:p>
        </w:tc>
        <w:tc>
          <w:tcPr>
            <w:tcW w:w="454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支    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28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项目 </w:t>
            </w:r>
          </w:p>
        </w:tc>
        <w:tc>
          <w:tcPr>
            <w:tcW w:w="13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决算数 </w:t>
            </w:r>
          </w:p>
        </w:tc>
        <w:tc>
          <w:tcPr>
            <w:tcW w:w="29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项目 </w:t>
            </w:r>
          </w:p>
        </w:tc>
        <w:tc>
          <w:tcPr>
            <w:tcW w:w="163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28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一、一般公共预算财政拨款收入 </w:t>
            </w:r>
          </w:p>
        </w:tc>
        <w:tc>
          <w:tcPr>
            <w:tcW w:w="13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15,939.98 </w:t>
            </w:r>
          </w:p>
        </w:tc>
        <w:tc>
          <w:tcPr>
            <w:tcW w:w="29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一、一般公共服务支出 </w:t>
            </w:r>
          </w:p>
        </w:tc>
        <w:tc>
          <w:tcPr>
            <w:tcW w:w="163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28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二、政府性基金预算财政拨款收入 </w:t>
            </w:r>
          </w:p>
        </w:tc>
        <w:tc>
          <w:tcPr>
            <w:tcW w:w="13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9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二、外交支出 </w:t>
            </w:r>
          </w:p>
        </w:tc>
        <w:tc>
          <w:tcPr>
            <w:tcW w:w="163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28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三、上级补助收入 </w:t>
            </w:r>
          </w:p>
        </w:tc>
        <w:tc>
          <w:tcPr>
            <w:tcW w:w="13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9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三、教育支出 </w:t>
            </w:r>
          </w:p>
        </w:tc>
        <w:tc>
          <w:tcPr>
            <w:tcW w:w="163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29,975.87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28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四、事业收入 </w:t>
            </w:r>
          </w:p>
        </w:tc>
        <w:tc>
          <w:tcPr>
            <w:tcW w:w="13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14,501.71 </w:t>
            </w:r>
          </w:p>
        </w:tc>
        <w:tc>
          <w:tcPr>
            <w:tcW w:w="29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四、科学技术支出 </w:t>
            </w:r>
          </w:p>
        </w:tc>
        <w:tc>
          <w:tcPr>
            <w:tcW w:w="163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28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五、经营收入 </w:t>
            </w:r>
          </w:p>
        </w:tc>
        <w:tc>
          <w:tcPr>
            <w:tcW w:w="13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9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五、文化旅游体育与传媒支出 </w:t>
            </w:r>
          </w:p>
        </w:tc>
        <w:tc>
          <w:tcPr>
            <w:tcW w:w="163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28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六、附属单位上缴收入 </w:t>
            </w:r>
          </w:p>
        </w:tc>
        <w:tc>
          <w:tcPr>
            <w:tcW w:w="13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9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63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28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七、其他收入 </w:t>
            </w:r>
          </w:p>
        </w:tc>
        <w:tc>
          <w:tcPr>
            <w:tcW w:w="13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4.11 </w:t>
            </w:r>
          </w:p>
        </w:tc>
        <w:tc>
          <w:tcPr>
            <w:tcW w:w="29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63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8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3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9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63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8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本年收入合计</w:t>
            </w:r>
            <w:r>
              <w:rPr>
                <w:rFonts w:hint="eastAsia" w:ascii="宋体" w:hAnsi="宋体" w:eastAsia="宋体" w:cs="宋体"/>
                <w:kern w:val="0"/>
                <w:sz w:val="24"/>
                <w:szCs w:val="24"/>
                <w:lang w:val="en-US" w:eastAsia="zh-CN" w:bidi="ar"/>
              </w:rPr>
              <w:t xml:space="preserve"> </w:t>
            </w:r>
          </w:p>
        </w:tc>
        <w:tc>
          <w:tcPr>
            <w:tcW w:w="13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30,445.80 </w:t>
            </w:r>
          </w:p>
        </w:tc>
        <w:tc>
          <w:tcPr>
            <w:tcW w:w="29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本年支出合计</w:t>
            </w:r>
            <w:r>
              <w:rPr>
                <w:rFonts w:hint="eastAsia" w:ascii="宋体" w:hAnsi="宋体" w:eastAsia="宋体" w:cs="宋体"/>
                <w:kern w:val="0"/>
                <w:sz w:val="24"/>
                <w:szCs w:val="24"/>
                <w:lang w:val="en-US" w:eastAsia="zh-CN" w:bidi="ar"/>
              </w:rPr>
              <w:t xml:space="preserve"> </w:t>
            </w:r>
          </w:p>
        </w:tc>
        <w:tc>
          <w:tcPr>
            <w:tcW w:w="163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29,992.35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8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使用非财政拨款结余 </w:t>
            </w:r>
          </w:p>
        </w:tc>
        <w:tc>
          <w:tcPr>
            <w:tcW w:w="13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9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结余分配 </w:t>
            </w:r>
          </w:p>
        </w:tc>
        <w:tc>
          <w:tcPr>
            <w:tcW w:w="163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8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年初结转和结余 </w:t>
            </w:r>
          </w:p>
        </w:tc>
        <w:tc>
          <w:tcPr>
            <w:tcW w:w="13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1,765.80 </w:t>
            </w:r>
          </w:p>
        </w:tc>
        <w:tc>
          <w:tcPr>
            <w:tcW w:w="29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年末结转与结余 </w:t>
            </w:r>
          </w:p>
        </w:tc>
        <w:tc>
          <w:tcPr>
            <w:tcW w:w="163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2,219.25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8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3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9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63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8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收入总计</w:t>
            </w:r>
            <w:r>
              <w:rPr>
                <w:rFonts w:hint="eastAsia" w:ascii="宋体" w:hAnsi="宋体" w:eastAsia="宋体" w:cs="宋体"/>
                <w:kern w:val="0"/>
                <w:sz w:val="24"/>
                <w:szCs w:val="24"/>
                <w:lang w:val="en-US" w:eastAsia="zh-CN" w:bidi="ar"/>
              </w:rPr>
              <w:t xml:space="preserve"> </w:t>
            </w:r>
          </w:p>
        </w:tc>
        <w:tc>
          <w:tcPr>
            <w:tcW w:w="13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32,211.60 </w:t>
            </w:r>
          </w:p>
        </w:tc>
        <w:tc>
          <w:tcPr>
            <w:tcW w:w="29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支出总计</w:t>
            </w:r>
            <w:r>
              <w:rPr>
                <w:rFonts w:hint="eastAsia" w:ascii="宋体" w:hAnsi="宋体" w:eastAsia="宋体" w:cs="宋体"/>
                <w:kern w:val="0"/>
                <w:sz w:val="24"/>
                <w:szCs w:val="24"/>
                <w:lang w:val="en-US" w:eastAsia="zh-CN" w:bidi="ar"/>
              </w:rPr>
              <w:t xml:space="preserve"> </w:t>
            </w:r>
          </w:p>
        </w:tc>
        <w:tc>
          <w:tcPr>
            <w:tcW w:w="163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32,211.60 </w:t>
            </w:r>
          </w:p>
        </w:tc>
      </w:tr>
    </w:tbl>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4"/>
          <w:szCs w:val="24"/>
          <w:lang w:val="en-US" w:eastAsia="zh-CN" w:bidi="ar"/>
        </w:rPr>
        <w:t xml:space="preserve">注：本表反映单位本年度的总收支和年末结转结余情况。 </w:t>
      </w:r>
    </w:p>
    <w:p>
      <w:pPr>
        <w:keepNext w:val="0"/>
        <w:keepLines w:val="0"/>
        <w:widowControl/>
        <w:suppressLineNumbers w:val="0"/>
        <w:jc w:val="lef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表二：收入决算表 </w:t>
      </w:r>
    </w:p>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单位：万元</w:t>
      </w:r>
    </w:p>
    <w:tbl>
      <w:tblPr>
        <w:tblStyle w:val="2"/>
        <w:tblW w:w="1414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78"/>
        <w:gridCol w:w="2357"/>
        <w:gridCol w:w="1496"/>
        <w:gridCol w:w="1525"/>
        <w:gridCol w:w="1352"/>
        <w:gridCol w:w="1320"/>
        <w:gridCol w:w="1388"/>
        <w:gridCol w:w="1371"/>
        <w:gridCol w:w="1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335"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支出功能项目 </w:t>
            </w:r>
          </w:p>
        </w:tc>
        <w:tc>
          <w:tcPr>
            <w:tcW w:w="149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本年收入合计 </w:t>
            </w:r>
          </w:p>
        </w:tc>
        <w:tc>
          <w:tcPr>
            <w:tcW w:w="1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财政拨款收入 </w:t>
            </w:r>
          </w:p>
        </w:tc>
        <w:tc>
          <w:tcPr>
            <w:tcW w:w="13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上级补助收入 </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事业收入 </w:t>
            </w:r>
          </w:p>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3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经营收入 </w:t>
            </w:r>
          </w:p>
        </w:tc>
        <w:tc>
          <w:tcPr>
            <w:tcW w:w="1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附属单位上缴收入 </w:t>
            </w:r>
          </w:p>
        </w:tc>
        <w:tc>
          <w:tcPr>
            <w:tcW w:w="13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97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支出功能分类科目编码 </w:t>
            </w:r>
          </w:p>
        </w:tc>
        <w:tc>
          <w:tcPr>
            <w:tcW w:w="235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科目名称 </w:t>
            </w:r>
          </w:p>
        </w:tc>
        <w:tc>
          <w:tcPr>
            <w:tcW w:w="149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sz w:val="24"/>
                <w:szCs w:val="24"/>
              </w:rPr>
            </w:pPr>
          </w:p>
        </w:tc>
        <w:tc>
          <w:tcPr>
            <w:tcW w:w="1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13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13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13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4335"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栏次</w:t>
            </w:r>
            <w:r>
              <w:rPr>
                <w:rFonts w:hint="eastAsia" w:ascii="宋体" w:hAnsi="宋体" w:eastAsia="宋体" w:cs="宋体"/>
                <w:kern w:val="0"/>
                <w:sz w:val="24"/>
                <w:szCs w:val="24"/>
                <w:lang w:val="en-US" w:eastAsia="zh-CN" w:bidi="ar"/>
              </w:rPr>
              <w:t xml:space="preserve"> </w:t>
            </w:r>
          </w:p>
        </w:tc>
        <w:tc>
          <w:tcPr>
            <w:tcW w:w="149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 </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 </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4 </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firstLine="66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5 </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firstLine="66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6 </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4335"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合计 </w:t>
            </w:r>
          </w:p>
        </w:tc>
        <w:tc>
          <w:tcPr>
            <w:tcW w:w="14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30,445.80</w:t>
            </w:r>
            <w:r>
              <w:rPr>
                <w:rFonts w:hint="eastAsia" w:ascii="宋体" w:hAnsi="宋体" w:eastAsia="宋体" w:cs="宋体"/>
                <w:kern w:val="0"/>
                <w:sz w:val="24"/>
                <w:szCs w:val="24"/>
                <w:lang w:val="en-US" w:eastAsia="zh-CN" w:bidi="ar"/>
              </w:rPr>
              <w:t xml:space="preserve"> </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15,939.98</w:t>
            </w:r>
            <w:r>
              <w:rPr>
                <w:rFonts w:hint="eastAsia" w:ascii="宋体" w:hAnsi="宋体" w:eastAsia="宋体" w:cs="宋体"/>
                <w:kern w:val="0"/>
                <w:sz w:val="24"/>
                <w:szCs w:val="24"/>
                <w:lang w:val="en-US" w:eastAsia="zh-CN" w:bidi="ar"/>
              </w:rPr>
              <w:t xml:space="preserve"> </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0.00</w:t>
            </w:r>
            <w:r>
              <w:rPr>
                <w:rFonts w:hint="eastAsia" w:ascii="宋体" w:hAnsi="宋体" w:eastAsia="宋体" w:cs="宋体"/>
                <w:kern w:val="0"/>
                <w:sz w:val="24"/>
                <w:szCs w:val="24"/>
                <w:lang w:val="en-US" w:eastAsia="zh-CN" w:bidi="ar"/>
              </w:rPr>
              <w:t xml:space="preserve">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14,501.71</w:t>
            </w:r>
            <w:r>
              <w:rPr>
                <w:rFonts w:hint="eastAsia" w:ascii="宋体" w:hAnsi="宋体" w:eastAsia="宋体" w:cs="宋体"/>
                <w:kern w:val="0"/>
                <w:sz w:val="24"/>
                <w:szCs w:val="24"/>
                <w:lang w:val="en-US" w:eastAsia="zh-CN" w:bidi="ar"/>
              </w:rPr>
              <w:t xml:space="preserve"> </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0.00</w:t>
            </w:r>
            <w:r>
              <w:rPr>
                <w:rFonts w:hint="eastAsia" w:ascii="宋体" w:hAnsi="宋体" w:eastAsia="宋体" w:cs="宋体"/>
                <w:kern w:val="0"/>
                <w:sz w:val="24"/>
                <w:szCs w:val="24"/>
                <w:lang w:val="en-US" w:eastAsia="zh-CN" w:bidi="ar"/>
              </w:rPr>
              <w:t xml:space="preserve"> </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0.00</w:t>
            </w:r>
            <w:r>
              <w:rPr>
                <w:rFonts w:hint="eastAsia" w:ascii="宋体" w:hAnsi="宋体" w:eastAsia="宋体" w:cs="宋体"/>
                <w:kern w:val="0"/>
                <w:sz w:val="24"/>
                <w:szCs w:val="24"/>
                <w:lang w:val="en-US" w:eastAsia="zh-CN" w:bidi="ar"/>
              </w:rPr>
              <w:t xml:space="preserve"> </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4.11</w:t>
            </w: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97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 </w:t>
            </w:r>
          </w:p>
        </w:tc>
        <w:tc>
          <w:tcPr>
            <w:tcW w:w="23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教育支出 </w:t>
            </w:r>
          </w:p>
        </w:tc>
        <w:tc>
          <w:tcPr>
            <w:tcW w:w="14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30,429.33 </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15,923.50 </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14,501.71 </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4.11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97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20502 </w:t>
            </w:r>
          </w:p>
        </w:tc>
        <w:tc>
          <w:tcPr>
            <w:tcW w:w="23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普通教育 </w:t>
            </w:r>
          </w:p>
        </w:tc>
        <w:tc>
          <w:tcPr>
            <w:tcW w:w="14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60.00 </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60.00 </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97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2050299 </w:t>
            </w:r>
          </w:p>
        </w:tc>
        <w:tc>
          <w:tcPr>
            <w:tcW w:w="23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其他普通教育支出 </w:t>
            </w:r>
          </w:p>
        </w:tc>
        <w:tc>
          <w:tcPr>
            <w:tcW w:w="14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60.00 </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60.00 </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97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20503 </w:t>
            </w:r>
          </w:p>
        </w:tc>
        <w:tc>
          <w:tcPr>
            <w:tcW w:w="23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职业教育 </w:t>
            </w:r>
          </w:p>
        </w:tc>
        <w:tc>
          <w:tcPr>
            <w:tcW w:w="14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30,369.33 </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15,863.50 </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14,501.71 </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4.11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97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2050305 </w:t>
            </w:r>
          </w:p>
        </w:tc>
        <w:tc>
          <w:tcPr>
            <w:tcW w:w="23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高等职业教育 </w:t>
            </w:r>
          </w:p>
        </w:tc>
        <w:tc>
          <w:tcPr>
            <w:tcW w:w="14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29,769.83 </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15,264.00 </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14,501.71 </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4.11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97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2050399 </w:t>
            </w:r>
          </w:p>
        </w:tc>
        <w:tc>
          <w:tcPr>
            <w:tcW w:w="23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其他职业教育支出 </w:t>
            </w:r>
          </w:p>
        </w:tc>
        <w:tc>
          <w:tcPr>
            <w:tcW w:w="14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599.50 </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599.50 </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97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207 </w:t>
            </w:r>
          </w:p>
        </w:tc>
        <w:tc>
          <w:tcPr>
            <w:tcW w:w="23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文化旅游体育与传媒支出 </w:t>
            </w:r>
          </w:p>
        </w:tc>
        <w:tc>
          <w:tcPr>
            <w:tcW w:w="14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97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20799 </w:t>
            </w:r>
          </w:p>
        </w:tc>
        <w:tc>
          <w:tcPr>
            <w:tcW w:w="23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其他文化旅游体育与传媒支出 </w:t>
            </w:r>
          </w:p>
        </w:tc>
        <w:tc>
          <w:tcPr>
            <w:tcW w:w="14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97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2079902 </w:t>
            </w:r>
          </w:p>
        </w:tc>
        <w:tc>
          <w:tcPr>
            <w:tcW w:w="23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宣传文化发展专项支出 </w:t>
            </w:r>
          </w:p>
        </w:tc>
        <w:tc>
          <w:tcPr>
            <w:tcW w:w="14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97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35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49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11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firstLine="88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bl>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p>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注：本表反映单位本年度取得的各项收入情况。 </w:t>
      </w: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表三出决算表 </w:t>
      </w:r>
    </w:p>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单位：万元 </w:t>
      </w:r>
    </w:p>
    <w:tbl>
      <w:tblPr>
        <w:tblStyle w:val="2"/>
        <w:tblW w:w="14049"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1"/>
        <w:gridCol w:w="3212"/>
        <w:gridCol w:w="1696"/>
        <w:gridCol w:w="1711"/>
        <w:gridCol w:w="1546"/>
        <w:gridCol w:w="1756"/>
        <w:gridCol w:w="1396"/>
        <w:gridCol w:w="1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350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支出功能项 目 </w:t>
            </w:r>
          </w:p>
        </w:tc>
        <w:tc>
          <w:tcPr>
            <w:tcW w:w="135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本年支出合计 </w:t>
            </w:r>
          </w:p>
        </w:tc>
        <w:tc>
          <w:tcPr>
            <w:tcW w:w="13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基本支出 </w:t>
            </w:r>
          </w:p>
        </w:tc>
        <w:tc>
          <w:tcPr>
            <w:tcW w:w="123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项目支出 </w:t>
            </w:r>
          </w:p>
        </w:tc>
        <w:tc>
          <w:tcPr>
            <w:tcW w:w="140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上缴上级支出 </w:t>
            </w:r>
          </w:p>
        </w:tc>
        <w:tc>
          <w:tcPr>
            <w:tcW w:w="111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经营支出 </w:t>
            </w:r>
          </w:p>
        </w:tc>
        <w:tc>
          <w:tcPr>
            <w:tcW w:w="124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对附属单位补助支出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9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支出功能分类科目编码 </w:t>
            </w:r>
          </w:p>
        </w:tc>
        <w:tc>
          <w:tcPr>
            <w:tcW w:w="2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科目名称 </w:t>
            </w:r>
          </w:p>
        </w:tc>
        <w:tc>
          <w:tcPr>
            <w:tcW w:w="135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sz w:val="24"/>
                <w:szCs w:val="24"/>
              </w:rPr>
            </w:pPr>
          </w:p>
        </w:tc>
        <w:tc>
          <w:tcPr>
            <w:tcW w:w="136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sz w:val="24"/>
                <w:szCs w:val="24"/>
              </w:rPr>
            </w:pPr>
          </w:p>
        </w:tc>
        <w:tc>
          <w:tcPr>
            <w:tcW w:w="123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sz w:val="24"/>
                <w:szCs w:val="24"/>
              </w:rPr>
            </w:pPr>
          </w:p>
        </w:tc>
        <w:tc>
          <w:tcPr>
            <w:tcW w:w="140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sz w:val="24"/>
                <w:szCs w:val="24"/>
              </w:rPr>
            </w:pPr>
          </w:p>
        </w:tc>
        <w:tc>
          <w:tcPr>
            <w:tcW w:w="111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sz w:val="24"/>
                <w:szCs w:val="24"/>
              </w:rPr>
            </w:pPr>
          </w:p>
        </w:tc>
        <w:tc>
          <w:tcPr>
            <w:tcW w:w="124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3504"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198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栏次 </w:t>
            </w:r>
          </w:p>
        </w:tc>
        <w:tc>
          <w:tcPr>
            <w:tcW w:w="135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 </w:t>
            </w:r>
          </w:p>
        </w:tc>
        <w:tc>
          <w:tcPr>
            <w:tcW w:w="136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88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 </w:t>
            </w:r>
          </w:p>
        </w:tc>
        <w:tc>
          <w:tcPr>
            <w:tcW w:w="123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88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 </w:t>
            </w:r>
          </w:p>
        </w:tc>
        <w:tc>
          <w:tcPr>
            <w:tcW w:w="140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4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88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5 </w:t>
            </w:r>
          </w:p>
        </w:tc>
        <w:tc>
          <w:tcPr>
            <w:tcW w:w="124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88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3504"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198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合计 </w:t>
            </w:r>
          </w:p>
        </w:tc>
        <w:tc>
          <w:tcPr>
            <w:tcW w:w="13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29,992.35</w:t>
            </w:r>
            <w:r>
              <w:rPr>
                <w:rFonts w:hint="eastAsia" w:ascii="宋体" w:hAnsi="宋体" w:eastAsia="宋体" w:cs="宋体"/>
                <w:kern w:val="0"/>
                <w:sz w:val="24"/>
                <w:szCs w:val="24"/>
                <w:lang w:val="en-US" w:eastAsia="zh-CN" w:bidi="ar"/>
              </w:rPr>
              <w:t xml:space="preserve"> </w:t>
            </w:r>
          </w:p>
        </w:tc>
        <w:tc>
          <w:tcPr>
            <w:tcW w:w="13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22,136.69</w:t>
            </w:r>
            <w:r>
              <w:rPr>
                <w:rFonts w:hint="eastAsia" w:ascii="宋体" w:hAnsi="宋体" w:eastAsia="宋体" w:cs="宋体"/>
                <w:kern w:val="0"/>
                <w:sz w:val="24"/>
                <w:szCs w:val="24"/>
                <w:lang w:val="en-US" w:eastAsia="zh-CN" w:bidi="ar"/>
              </w:rPr>
              <w:t xml:space="preserve"> </w:t>
            </w:r>
          </w:p>
        </w:tc>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7,855.65</w:t>
            </w:r>
            <w:r>
              <w:rPr>
                <w:rFonts w:hint="eastAsia" w:ascii="宋体" w:hAnsi="宋体" w:eastAsia="宋体" w:cs="宋体"/>
                <w:kern w:val="0"/>
                <w:sz w:val="24"/>
                <w:szCs w:val="24"/>
                <w:lang w:val="en-US" w:eastAsia="zh-CN" w:bidi="ar"/>
              </w:rPr>
              <w:t xml:space="preserve"> </w:t>
            </w:r>
          </w:p>
        </w:tc>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0.00</w:t>
            </w:r>
            <w:r>
              <w:rPr>
                <w:rFonts w:hint="eastAsia" w:ascii="宋体" w:hAnsi="宋体" w:eastAsia="宋体" w:cs="宋体"/>
                <w:kern w:val="0"/>
                <w:sz w:val="24"/>
                <w:szCs w:val="24"/>
                <w:lang w:val="en-US" w:eastAsia="zh-CN" w:bidi="ar"/>
              </w:rPr>
              <w:t xml:space="preserve">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0.00</w:t>
            </w:r>
            <w:r>
              <w:rPr>
                <w:rFonts w:hint="eastAsia" w:ascii="宋体" w:hAnsi="宋体" w:eastAsia="宋体" w:cs="宋体"/>
                <w:kern w:val="0"/>
                <w:sz w:val="24"/>
                <w:szCs w:val="24"/>
                <w:lang w:val="en-US" w:eastAsia="zh-CN" w:bidi="ar"/>
              </w:rPr>
              <w:t xml:space="preserve"> </w:t>
            </w:r>
          </w:p>
        </w:tc>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0.00</w:t>
            </w: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9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 </w:t>
            </w:r>
          </w:p>
        </w:tc>
        <w:tc>
          <w:tcPr>
            <w:tcW w:w="2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教育支出 </w:t>
            </w:r>
          </w:p>
        </w:tc>
        <w:tc>
          <w:tcPr>
            <w:tcW w:w="13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29,975.87 </w:t>
            </w:r>
          </w:p>
        </w:tc>
        <w:tc>
          <w:tcPr>
            <w:tcW w:w="13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22,136.69 </w:t>
            </w:r>
          </w:p>
        </w:tc>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7,839.17 </w:t>
            </w:r>
          </w:p>
        </w:tc>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9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20502 </w:t>
            </w:r>
          </w:p>
        </w:tc>
        <w:tc>
          <w:tcPr>
            <w:tcW w:w="2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普通教育 </w:t>
            </w:r>
          </w:p>
        </w:tc>
        <w:tc>
          <w:tcPr>
            <w:tcW w:w="13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93.32 </w:t>
            </w:r>
          </w:p>
        </w:tc>
        <w:tc>
          <w:tcPr>
            <w:tcW w:w="13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93.32 </w:t>
            </w:r>
          </w:p>
        </w:tc>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9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2050205 </w:t>
            </w:r>
          </w:p>
        </w:tc>
        <w:tc>
          <w:tcPr>
            <w:tcW w:w="2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高等教育 </w:t>
            </w:r>
          </w:p>
        </w:tc>
        <w:tc>
          <w:tcPr>
            <w:tcW w:w="13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1.91 </w:t>
            </w:r>
          </w:p>
        </w:tc>
        <w:tc>
          <w:tcPr>
            <w:tcW w:w="13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1.91 </w:t>
            </w:r>
          </w:p>
        </w:tc>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9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2050299 </w:t>
            </w:r>
          </w:p>
        </w:tc>
        <w:tc>
          <w:tcPr>
            <w:tcW w:w="2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其他普通教育支出 </w:t>
            </w:r>
          </w:p>
        </w:tc>
        <w:tc>
          <w:tcPr>
            <w:tcW w:w="13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91.40 </w:t>
            </w:r>
          </w:p>
        </w:tc>
        <w:tc>
          <w:tcPr>
            <w:tcW w:w="13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91.40 </w:t>
            </w:r>
          </w:p>
        </w:tc>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9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20503 </w:t>
            </w:r>
          </w:p>
        </w:tc>
        <w:tc>
          <w:tcPr>
            <w:tcW w:w="2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职业教育 </w:t>
            </w:r>
          </w:p>
        </w:tc>
        <w:tc>
          <w:tcPr>
            <w:tcW w:w="13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29,852.55 </w:t>
            </w:r>
          </w:p>
        </w:tc>
        <w:tc>
          <w:tcPr>
            <w:tcW w:w="13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22,136.69 </w:t>
            </w:r>
          </w:p>
        </w:tc>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7,715.86 </w:t>
            </w:r>
          </w:p>
        </w:tc>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9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2050305 </w:t>
            </w:r>
          </w:p>
        </w:tc>
        <w:tc>
          <w:tcPr>
            <w:tcW w:w="2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高等职业教育 </w:t>
            </w:r>
          </w:p>
        </w:tc>
        <w:tc>
          <w:tcPr>
            <w:tcW w:w="13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29,300.73 </w:t>
            </w:r>
          </w:p>
        </w:tc>
        <w:tc>
          <w:tcPr>
            <w:tcW w:w="13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22,136.69 </w:t>
            </w:r>
          </w:p>
        </w:tc>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7,164.03 </w:t>
            </w:r>
          </w:p>
        </w:tc>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9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2050399 </w:t>
            </w:r>
          </w:p>
        </w:tc>
        <w:tc>
          <w:tcPr>
            <w:tcW w:w="2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其他职业教育支出 </w:t>
            </w:r>
          </w:p>
        </w:tc>
        <w:tc>
          <w:tcPr>
            <w:tcW w:w="13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551.82 </w:t>
            </w:r>
          </w:p>
        </w:tc>
        <w:tc>
          <w:tcPr>
            <w:tcW w:w="13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551.82 </w:t>
            </w:r>
          </w:p>
        </w:tc>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9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20509 </w:t>
            </w:r>
          </w:p>
        </w:tc>
        <w:tc>
          <w:tcPr>
            <w:tcW w:w="2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教育费附加安排的支出 </w:t>
            </w:r>
          </w:p>
        </w:tc>
        <w:tc>
          <w:tcPr>
            <w:tcW w:w="13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30.00 </w:t>
            </w:r>
          </w:p>
        </w:tc>
        <w:tc>
          <w:tcPr>
            <w:tcW w:w="13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30.00 </w:t>
            </w:r>
          </w:p>
        </w:tc>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9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2050999 </w:t>
            </w:r>
          </w:p>
        </w:tc>
        <w:tc>
          <w:tcPr>
            <w:tcW w:w="2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其他教育费附加安排的支出 </w:t>
            </w:r>
          </w:p>
        </w:tc>
        <w:tc>
          <w:tcPr>
            <w:tcW w:w="13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30.00 </w:t>
            </w:r>
          </w:p>
        </w:tc>
        <w:tc>
          <w:tcPr>
            <w:tcW w:w="13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30.00 </w:t>
            </w:r>
          </w:p>
        </w:tc>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9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207 </w:t>
            </w:r>
          </w:p>
        </w:tc>
        <w:tc>
          <w:tcPr>
            <w:tcW w:w="2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文化旅游体育与传媒支出 </w:t>
            </w:r>
          </w:p>
        </w:tc>
        <w:tc>
          <w:tcPr>
            <w:tcW w:w="13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c>
          <w:tcPr>
            <w:tcW w:w="13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9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20799 </w:t>
            </w:r>
          </w:p>
        </w:tc>
        <w:tc>
          <w:tcPr>
            <w:tcW w:w="2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其他文化旅游体育与传媒支出 </w:t>
            </w:r>
          </w:p>
        </w:tc>
        <w:tc>
          <w:tcPr>
            <w:tcW w:w="13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c>
          <w:tcPr>
            <w:tcW w:w="13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9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2079902 </w:t>
            </w:r>
          </w:p>
        </w:tc>
        <w:tc>
          <w:tcPr>
            <w:tcW w:w="25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宣传文化发展专项支出 </w:t>
            </w:r>
          </w:p>
        </w:tc>
        <w:tc>
          <w:tcPr>
            <w:tcW w:w="13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c>
          <w:tcPr>
            <w:tcW w:w="13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bl>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注：本表反映单位本年度各项支出情况。 </w:t>
      </w:r>
    </w:p>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lang w:val="en-US" w:eastAsia="zh-CN" w:bidi="ar"/>
        </w:rPr>
      </w:pPr>
    </w:p>
    <w:p>
      <w:pPr>
        <w:keepNext w:val="0"/>
        <w:keepLines w:val="0"/>
        <w:widowControl/>
        <w:suppressLineNumbers w:val="0"/>
        <w:spacing w:before="0" w:beforeAutospacing="1" w:after="0" w:afterAutospacing="1"/>
        <w:ind w:left="0" w:right="0" w:firstLine="5079" w:firstLineChars="1814"/>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表四：财政拨款收入支出决算总表</w:t>
      </w:r>
    </w:p>
    <w:p>
      <w:pPr>
        <w:keepNext w:val="0"/>
        <w:keepLines w:val="0"/>
        <w:widowControl/>
        <w:suppressLineNumbers w:val="0"/>
        <w:spacing w:before="0" w:beforeAutospacing="1" w:after="0" w:afterAutospacing="1"/>
        <w:ind w:left="0" w:right="0" w:firstLine="36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4"/>
          <w:szCs w:val="24"/>
          <w:lang w:val="en-US" w:eastAsia="zh-CN" w:bidi="ar"/>
        </w:rPr>
        <w:t>单位：万元</w:t>
      </w:r>
    </w:p>
    <w:tbl>
      <w:tblPr>
        <w:tblStyle w:val="2"/>
        <w:tblW w:w="13765" w:type="dxa"/>
        <w:tblCellSpacing w:w="0" w:type="dxa"/>
        <w:tblInd w:w="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222"/>
        <w:gridCol w:w="347"/>
        <w:gridCol w:w="1196"/>
        <w:gridCol w:w="1693"/>
        <w:gridCol w:w="356"/>
        <w:gridCol w:w="2491"/>
        <w:gridCol w:w="2730"/>
        <w:gridCol w:w="2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4524" w:type="dxa"/>
            <w:gridSpan w:val="3"/>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收 入 </w:t>
            </w:r>
          </w:p>
        </w:tc>
        <w:tc>
          <w:tcPr>
            <w:tcW w:w="6480" w:type="dxa"/>
            <w:gridSpan w:val="5"/>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支 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284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项 目 </w:t>
            </w:r>
          </w:p>
        </w:tc>
        <w:tc>
          <w:tcPr>
            <w:tcW w:w="4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行次 </w:t>
            </w:r>
          </w:p>
        </w:tc>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金额 </w:t>
            </w:r>
          </w:p>
        </w:tc>
        <w:tc>
          <w:tcPr>
            <w:tcW w:w="25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项 目 </w:t>
            </w:r>
          </w:p>
        </w:tc>
        <w:tc>
          <w:tcPr>
            <w:tcW w:w="4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行次 </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合计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一般公共预算财政拨款 </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政府性基金预算财政拨款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28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栏 次 </w:t>
            </w:r>
          </w:p>
        </w:tc>
        <w:tc>
          <w:tcPr>
            <w:tcW w:w="4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27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 </w:t>
            </w:r>
          </w:p>
        </w:tc>
        <w:tc>
          <w:tcPr>
            <w:tcW w:w="25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88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栏 次 </w:t>
            </w:r>
          </w:p>
        </w:tc>
        <w:tc>
          <w:tcPr>
            <w:tcW w:w="4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 </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28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一、一般公共预算财政拨款收入 </w:t>
            </w:r>
          </w:p>
        </w:tc>
        <w:tc>
          <w:tcPr>
            <w:tcW w:w="4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 </w:t>
            </w:r>
          </w:p>
        </w:tc>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15,939.98 </w:t>
            </w:r>
          </w:p>
        </w:tc>
        <w:tc>
          <w:tcPr>
            <w:tcW w:w="25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一、一般公共服务支出 </w:t>
            </w:r>
          </w:p>
        </w:tc>
        <w:tc>
          <w:tcPr>
            <w:tcW w:w="4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18 </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88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28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二、政府性基金预算财政拨款收入 </w:t>
            </w:r>
          </w:p>
        </w:tc>
        <w:tc>
          <w:tcPr>
            <w:tcW w:w="4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 </w:t>
            </w:r>
          </w:p>
        </w:tc>
        <w:tc>
          <w:tcPr>
            <w:tcW w:w="127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44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5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二、外交支出 </w:t>
            </w:r>
          </w:p>
        </w:tc>
        <w:tc>
          <w:tcPr>
            <w:tcW w:w="4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19 </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88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28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 </w:t>
            </w:r>
          </w:p>
        </w:tc>
        <w:tc>
          <w:tcPr>
            <w:tcW w:w="127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5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三、教育支出 </w:t>
            </w:r>
          </w:p>
        </w:tc>
        <w:tc>
          <w:tcPr>
            <w:tcW w:w="4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 </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16,121.76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16,121.76 </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28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4 </w:t>
            </w:r>
          </w:p>
        </w:tc>
        <w:tc>
          <w:tcPr>
            <w:tcW w:w="127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5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四、科学技术支出 </w:t>
            </w:r>
          </w:p>
        </w:tc>
        <w:tc>
          <w:tcPr>
            <w:tcW w:w="4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21 </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66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28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5 </w:t>
            </w:r>
          </w:p>
        </w:tc>
        <w:tc>
          <w:tcPr>
            <w:tcW w:w="127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5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五、文化旅游体育与传媒支出 </w:t>
            </w:r>
          </w:p>
        </w:tc>
        <w:tc>
          <w:tcPr>
            <w:tcW w:w="4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22 </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28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6 </w:t>
            </w:r>
          </w:p>
        </w:tc>
        <w:tc>
          <w:tcPr>
            <w:tcW w:w="127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5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六、社会保障和就业支出 </w:t>
            </w:r>
          </w:p>
        </w:tc>
        <w:tc>
          <w:tcPr>
            <w:tcW w:w="4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23 </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66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88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28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7 </w:t>
            </w:r>
          </w:p>
        </w:tc>
        <w:tc>
          <w:tcPr>
            <w:tcW w:w="127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5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24 </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88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28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8 </w:t>
            </w:r>
          </w:p>
        </w:tc>
        <w:tc>
          <w:tcPr>
            <w:tcW w:w="127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5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25 </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66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28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9 </w:t>
            </w:r>
          </w:p>
        </w:tc>
        <w:tc>
          <w:tcPr>
            <w:tcW w:w="127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5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26 </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66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28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10 </w:t>
            </w:r>
          </w:p>
        </w:tc>
        <w:tc>
          <w:tcPr>
            <w:tcW w:w="127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5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27 </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66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28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11 </w:t>
            </w:r>
          </w:p>
        </w:tc>
        <w:tc>
          <w:tcPr>
            <w:tcW w:w="127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5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28 </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4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4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4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28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154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本年收入合计 </w:t>
            </w:r>
          </w:p>
        </w:tc>
        <w:tc>
          <w:tcPr>
            <w:tcW w:w="4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12 </w:t>
            </w:r>
          </w:p>
        </w:tc>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15,939.98 </w:t>
            </w:r>
          </w:p>
        </w:tc>
        <w:tc>
          <w:tcPr>
            <w:tcW w:w="25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本年支出合计 </w:t>
            </w:r>
          </w:p>
        </w:tc>
        <w:tc>
          <w:tcPr>
            <w:tcW w:w="4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29 </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16,138.24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16,138.24 </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4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28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44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年初财政拨款结转和结余 </w:t>
            </w:r>
          </w:p>
        </w:tc>
        <w:tc>
          <w:tcPr>
            <w:tcW w:w="4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13 </w:t>
            </w:r>
          </w:p>
        </w:tc>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1,765.80 </w:t>
            </w:r>
          </w:p>
        </w:tc>
        <w:tc>
          <w:tcPr>
            <w:tcW w:w="25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年末财政拨款结转和结余 </w:t>
            </w:r>
          </w:p>
        </w:tc>
        <w:tc>
          <w:tcPr>
            <w:tcW w:w="4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 </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1,567.54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1,567.54 </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4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28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88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一般公共预算财政拨款 </w:t>
            </w:r>
          </w:p>
        </w:tc>
        <w:tc>
          <w:tcPr>
            <w:tcW w:w="4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14 </w:t>
            </w:r>
          </w:p>
        </w:tc>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1,765.80 </w:t>
            </w:r>
          </w:p>
        </w:tc>
        <w:tc>
          <w:tcPr>
            <w:tcW w:w="25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31 </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4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4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4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28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88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政府性基金预算财政拨款 </w:t>
            </w:r>
          </w:p>
        </w:tc>
        <w:tc>
          <w:tcPr>
            <w:tcW w:w="4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15 </w:t>
            </w:r>
          </w:p>
        </w:tc>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25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32 </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4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4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4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28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 </w:t>
            </w:r>
          </w:p>
        </w:tc>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25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33 </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4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4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4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28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合计 </w:t>
            </w:r>
          </w:p>
        </w:tc>
        <w:tc>
          <w:tcPr>
            <w:tcW w:w="4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17 </w:t>
            </w:r>
          </w:p>
        </w:tc>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17,705.79 </w:t>
            </w:r>
          </w:p>
        </w:tc>
        <w:tc>
          <w:tcPr>
            <w:tcW w:w="25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合计 </w:t>
            </w:r>
          </w:p>
        </w:tc>
        <w:tc>
          <w:tcPr>
            <w:tcW w:w="43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34 </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17,705.79 </w:t>
            </w:r>
          </w:p>
        </w:tc>
        <w:tc>
          <w:tcPr>
            <w:tcW w:w="111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17,705.79 </w:t>
            </w:r>
          </w:p>
        </w:tc>
        <w:tc>
          <w:tcPr>
            <w:tcW w:w="12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firstLine="24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bl>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注：本表反映单位本年度一般公共预算财政拨款和政府性基金预算财政拨款的总收支和年末结转结余情况。 </w:t>
      </w: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表五：一般公共预算财政拨款支出决算表 </w:t>
      </w:r>
    </w:p>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单位：万元 </w:t>
      </w:r>
    </w:p>
    <w:tbl>
      <w:tblPr>
        <w:tblStyle w:val="2"/>
        <w:tblW w:w="13479"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75"/>
        <w:gridCol w:w="4608"/>
        <w:gridCol w:w="2612"/>
        <w:gridCol w:w="2537"/>
        <w:gridCol w:w="2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470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支出功能项 目 </w:t>
            </w:r>
          </w:p>
        </w:tc>
        <w:tc>
          <w:tcPr>
            <w:tcW w:w="208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合计 </w:t>
            </w:r>
          </w:p>
        </w:tc>
        <w:tc>
          <w:tcPr>
            <w:tcW w:w="202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基本支出 </w:t>
            </w:r>
          </w:p>
        </w:tc>
        <w:tc>
          <w:tcPr>
            <w:tcW w:w="195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支出功能分类科目编码 </w:t>
            </w:r>
          </w:p>
        </w:tc>
        <w:tc>
          <w:tcPr>
            <w:tcW w:w="36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科目名称 </w:t>
            </w:r>
          </w:p>
        </w:tc>
        <w:tc>
          <w:tcPr>
            <w:tcW w:w="208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sz w:val="24"/>
                <w:szCs w:val="24"/>
              </w:rPr>
            </w:pPr>
          </w:p>
        </w:tc>
        <w:tc>
          <w:tcPr>
            <w:tcW w:w="202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sz w:val="24"/>
                <w:szCs w:val="24"/>
              </w:rPr>
            </w:pPr>
          </w:p>
        </w:tc>
        <w:tc>
          <w:tcPr>
            <w:tcW w:w="195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4704"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栏次</w:t>
            </w:r>
            <w:r>
              <w:rPr>
                <w:rFonts w:hint="eastAsia" w:ascii="宋体" w:hAnsi="宋体" w:eastAsia="宋体" w:cs="宋体"/>
                <w:kern w:val="0"/>
                <w:sz w:val="24"/>
                <w:szCs w:val="24"/>
                <w:lang w:val="en-US" w:eastAsia="zh-CN" w:bidi="ar"/>
              </w:rPr>
              <w:t xml:space="preserve"> </w:t>
            </w:r>
          </w:p>
        </w:tc>
        <w:tc>
          <w:tcPr>
            <w:tcW w:w="208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 </w:t>
            </w:r>
          </w:p>
        </w:tc>
        <w:tc>
          <w:tcPr>
            <w:tcW w:w="20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 </w:t>
            </w:r>
          </w:p>
        </w:tc>
        <w:tc>
          <w:tcPr>
            <w:tcW w:w="195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4704"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合计 </w:t>
            </w:r>
          </w:p>
        </w:tc>
        <w:tc>
          <w:tcPr>
            <w:tcW w:w="20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16,138.24</w:t>
            </w:r>
            <w:r>
              <w:rPr>
                <w:rFonts w:hint="eastAsia" w:ascii="宋体" w:hAnsi="宋体" w:eastAsia="宋体" w:cs="宋体"/>
                <w:kern w:val="0"/>
                <w:sz w:val="24"/>
                <w:szCs w:val="24"/>
                <w:lang w:val="en-US" w:eastAsia="zh-CN" w:bidi="ar"/>
              </w:rPr>
              <w:t xml:space="preserve"> </w:t>
            </w:r>
          </w:p>
        </w:tc>
        <w:tc>
          <w:tcPr>
            <w:tcW w:w="20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8,916.90</w:t>
            </w:r>
            <w:r>
              <w:rPr>
                <w:rFonts w:hint="eastAsia" w:ascii="宋体" w:hAnsi="宋体" w:eastAsia="宋体" w:cs="宋体"/>
                <w:kern w:val="0"/>
                <w:sz w:val="24"/>
                <w:szCs w:val="24"/>
                <w:lang w:val="en-US" w:eastAsia="zh-CN" w:bidi="ar"/>
              </w:rPr>
              <w:t xml:space="preserve"> </w:t>
            </w:r>
          </w:p>
        </w:tc>
        <w:tc>
          <w:tcPr>
            <w:tcW w:w="19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7,221.34</w:t>
            </w: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 </w:t>
            </w:r>
          </w:p>
        </w:tc>
        <w:tc>
          <w:tcPr>
            <w:tcW w:w="36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教育支出 </w:t>
            </w:r>
          </w:p>
        </w:tc>
        <w:tc>
          <w:tcPr>
            <w:tcW w:w="20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16,121.76 </w:t>
            </w:r>
          </w:p>
        </w:tc>
        <w:tc>
          <w:tcPr>
            <w:tcW w:w="20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8,916.90 </w:t>
            </w:r>
          </w:p>
        </w:tc>
        <w:tc>
          <w:tcPr>
            <w:tcW w:w="19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7,204.86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20502 </w:t>
            </w:r>
          </w:p>
        </w:tc>
        <w:tc>
          <w:tcPr>
            <w:tcW w:w="36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普通教育 </w:t>
            </w:r>
          </w:p>
        </w:tc>
        <w:tc>
          <w:tcPr>
            <w:tcW w:w="20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93.32 </w:t>
            </w:r>
          </w:p>
        </w:tc>
        <w:tc>
          <w:tcPr>
            <w:tcW w:w="20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9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93.32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2050205 </w:t>
            </w:r>
          </w:p>
        </w:tc>
        <w:tc>
          <w:tcPr>
            <w:tcW w:w="36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高等教育 </w:t>
            </w:r>
          </w:p>
        </w:tc>
        <w:tc>
          <w:tcPr>
            <w:tcW w:w="20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1.91 </w:t>
            </w:r>
          </w:p>
        </w:tc>
        <w:tc>
          <w:tcPr>
            <w:tcW w:w="20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9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2050299 </w:t>
            </w:r>
          </w:p>
        </w:tc>
        <w:tc>
          <w:tcPr>
            <w:tcW w:w="36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其他普通教育支出 </w:t>
            </w:r>
          </w:p>
        </w:tc>
        <w:tc>
          <w:tcPr>
            <w:tcW w:w="20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91.40 </w:t>
            </w:r>
          </w:p>
        </w:tc>
        <w:tc>
          <w:tcPr>
            <w:tcW w:w="20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9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91.40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20503 </w:t>
            </w:r>
          </w:p>
        </w:tc>
        <w:tc>
          <w:tcPr>
            <w:tcW w:w="36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职业教育 </w:t>
            </w:r>
          </w:p>
        </w:tc>
        <w:tc>
          <w:tcPr>
            <w:tcW w:w="20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15,998.45 </w:t>
            </w:r>
          </w:p>
        </w:tc>
        <w:tc>
          <w:tcPr>
            <w:tcW w:w="20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8,916.90 </w:t>
            </w:r>
          </w:p>
        </w:tc>
        <w:tc>
          <w:tcPr>
            <w:tcW w:w="19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7,081.54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2050305 </w:t>
            </w:r>
          </w:p>
        </w:tc>
        <w:tc>
          <w:tcPr>
            <w:tcW w:w="36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高等职业教育 </w:t>
            </w:r>
          </w:p>
        </w:tc>
        <w:tc>
          <w:tcPr>
            <w:tcW w:w="20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15,446.62 </w:t>
            </w:r>
          </w:p>
        </w:tc>
        <w:tc>
          <w:tcPr>
            <w:tcW w:w="20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8,916.90 </w:t>
            </w:r>
          </w:p>
        </w:tc>
        <w:tc>
          <w:tcPr>
            <w:tcW w:w="19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6,529.72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2050399 </w:t>
            </w:r>
          </w:p>
        </w:tc>
        <w:tc>
          <w:tcPr>
            <w:tcW w:w="36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其他职业教育支出 </w:t>
            </w:r>
          </w:p>
        </w:tc>
        <w:tc>
          <w:tcPr>
            <w:tcW w:w="20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551.82 </w:t>
            </w:r>
          </w:p>
        </w:tc>
        <w:tc>
          <w:tcPr>
            <w:tcW w:w="20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9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551.82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20509 </w:t>
            </w:r>
          </w:p>
        </w:tc>
        <w:tc>
          <w:tcPr>
            <w:tcW w:w="36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教育费附加安排的支出 </w:t>
            </w:r>
          </w:p>
        </w:tc>
        <w:tc>
          <w:tcPr>
            <w:tcW w:w="20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30.00 </w:t>
            </w:r>
          </w:p>
        </w:tc>
        <w:tc>
          <w:tcPr>
            <w:tcW w:w="20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9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2050999 </w:t>
            </w:r>
          </w:p>
        </w:tc>
        <w:tc>
          <w:tcPr>
            <w:tcW w:w="36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其他教育费附加安排的支出 </w:t>
            </w:r>
          </w:p>
        </w:tc>
        <w:tc>
          <w:tcPr>
            <w:tcW w:w="20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30.00 </w:t>
            </w:r>
          </w:p>
        </w:tc>
        <w:tc>
          <w:tcPr>
            <w:tcW w:w="20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9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207 </w:t>
            </w:r>
          </w:p>
        </w:tc>
        <w:tc>
          <w:tcPr>
            <w:tcW w:w="36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文化旅游体育与传媒支出 </w:t>
            </w:r>
          </w:p>
        </w:tc>
        <w:tc>
          <w:tcPr>
            <w:tcW w:w="20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c>
          <w:tcPr>
            <w:tcW w:w="20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9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20799 </w:t>
            </w:r>
          </w:p>
        </w:tc>
        <w:tc>
          <w:tcPr>
            <w:tcW w:w="36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其他文化旅游体育与传媒支出 </w:t>
            </w:r>
          </w:p>
        </w:tc>
        <w:tc>
          <w:tcPr>
            <w:tcW w:w="20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c>
          <w:tcPr>
            <w:tcW w:w="20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9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2079902 </w:t>
            </w:r>
          </w:p>
        </w:tc>
        <w:tc>
          <w:tcPr>
            <w:tcW w:w="36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宣传文化发展专项支出 </w:t>
            </w:r>
          </w:p>
        </w:tc>
        <w:tc>
          <w:tcPr>
            <w:tcW w:w="20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c>
          <w:tcPr>
            <w:tcW w:w="20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9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16.48 </w:t>
            </w:r>
          </w:p>
        </w:tc>
      </w:tr>
    </w:tbl>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注：本表反映单位本年度一般公共预算财政拨款实际支出情况。 </w:t>
      </w:r>
    </w:p>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表六：一般公共预算财政拨款基本支出决算表 </w:t>
      </w:r>
    </w:p>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4"/>
          <w:szCs w:val="24"/>
          <w:lang w:val="en-US" w:eastAsia="zh-CN" w:bidi="ar"/>
        </w:rPr>
        <w:t xml:space="preserve">   单位：万元 </w:t>
      </w:r>
    </w:p>
    <w:tbl>
      <w:tblPr>
        <w:tblStyle w:val="2"/>
        <w:tblW w:w="13899" w:type="dxa"/>
        <w:tblCellSpacing w:w="0" w:type="dxa"/>
        <w:tblInd w:w="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32"/>
        <w:gridCol w:w="4072"/>
        <w:gridCol w:w="2103"/>
        <w:gridCol w:w="1360"/>
        <w:gridCol w:w="2629"/>
        <w:gridCol w:w="2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trPr>
        <w:tc>
          <w:tcPr>
            <w:tcW w:w="780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人员经费 </w:t>
            </w:r>
          </w:p>
        </w:tc>
        <w:tc>
          <w:tcPr>
            <w:tcW w:w="60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公用经费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支出经济分类科目编码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科目名称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金额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经济分类科目编码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科目名称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301</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工资福利支出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6,865.25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302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商品和服务支出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1,195.23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30101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基本工资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2,401.05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30201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办公费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30102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津贴补贴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9.05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30202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印刷费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30103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奖金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30303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咨询费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30106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伙食补助费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30304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手续费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30107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绩效工资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1,719.06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30305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水费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100.79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30108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机关事业单位基本养老保险缴费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676.62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30306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电费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220.76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30109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职业年金缴费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309.70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30307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邮电费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30110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职工基本医疗保险缴费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315.42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30308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取暖费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30111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公务员医疗补助缴费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1.40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30309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物业管理费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450.60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30112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其他社会保障缴费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68.05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30211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差旅费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30113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住房公积金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506.90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30213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维修（护）费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149.98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30114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医疗费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30226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劳务费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37.92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30199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其他工资福利支出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858.00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30227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委托业务费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4.27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303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对个人和家庭的补助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856.43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30228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工会经费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77.43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30301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离休费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71.25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30231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公务用车运行维护费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30302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退休费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320.27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30239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其他交通费用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30303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退职（役）费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30299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其他商品和服务支出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133.16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30304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抚恤金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color w:val="FF0000"/>
                <w:kern w:val="0"/>
                <w:sz w:val="24"/>
                <w:szCs w:val="24"/>
                <w:lang w:val="en-US" w:eastAsia="zh-CN" w:bidi="ar"/>
              </w:rPr>
              <w:t> </w:t>
            </w:r>
            <w:r>
              <w:rPr>
                <w:rFonts w:hint="eastAsia" w:ascii="宋体" w:hAnsi="宋体" w:eastAsia="宋体" w:cs="宋体"/>
                <w:kern w:val="0"/>
                <w:sz w:val="24"/>
                <w:szCs w:val="24"/>
                <w:lang w:val="en-US" w:eastAsia="zh-CN" w:bidi="ar"/>
              </w:rPr>
              <w:t xml:space="preserve">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color w:val="FF0000"/>
                <w:kern w:val="0"/>
                <w:sz w:val="24"/>
                <w:szCs w:val="24"/>
                <w:lang w:val="en-US" w:eastAsia="zh-CN" w:bidi="ar"/>
              </w:rPr>
              <w:t> </w:t>
            </w:r>
            <w:r>
              <w:rPr>
                <w:rFonts w:hint="eastAsia" w:ascii="宋体" w:hAnsi="宋体" w:eastAsia="宋体" w:cs="宋体"/>
                <w:kern w:val="0"/>
                <w:sz w:val="24"/>
                <w:szCs w:val="24"/>
                <w:lang w:val="en-US" w:eastAsia="zh-CN" w:bidi="ar"/>
              </w:rPr>
              <w:t xml:space="preserve">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30305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生活补助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1.20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307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债务利息支出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30306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救济费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310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资本性支出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blCellSpacing w:w="0" w:type="dxa"/>
        </w:trPr>
        <w:tc>
          <w:tcPr>
            <w:tcW w:w="16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30307 </w:t>
            </w:r>
          </w:p>
        </w:tc>
        <w:tc>
          <w:tcPr>
            <w:tcW w:w="4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医疗费补助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463.71 </w:t>
            </w:r>
          </w:p>
        </w:tc>
        <w:tc>
          <w:tcPr>
            <w:tcW w:w="1360"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399 </w:t>
            </w:r>
          </w:p>
        </w:tc>
        <w:tc>
          <w:tcPr>
            <w:tcW w:w="2629"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其他支出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widowControl/>
              <w:suppressLineNumbers w:val="0"/>
              <w:spacing w:before="0" w:beforeAutospacing="1" w:after="0" w:afterAutospacing="1"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blCellSpacing w:w="0" w:type="dxa"/>
        </w:trPr>
        <w:tc>
          <w:tcPr>
            <w:tcW w:w="570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人员经费合计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7,721.67 </w:t>
            </w:r>
          </w:p>
        </w:tc>
        <w:tc>
          <w:tcPr>
            <w:tcW w:w="398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公用经费合计 </w:t>
            </w:r>
          </w:p>
        </w:tc>
        <w:tc>
          <w:tcPr>
            <w:tcW w:w="210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1,195.23 </w:t>
            </w:r>
          </w:p>
        </w:tc>
      </w:tr>
    </w:tbl>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注：本表反映单位本年度一般公共预算财政拨款基本支出明细情况。 </w:t>
      </w:r>
    </w:p>
    <w:p>
      <w:pPr>
        <w:keepNext w:val="0"/>
        <w:keepLines w:val="0"/>
        <w:widowControl/>
        <w:suppressLineNumbers w:val="0"/>
        <w:jc w:val="left"/>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jc w:val="both"/>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表七：一般公共预算财政拨款安排的“三公”经费支出决算表 </w:t>
      </w:r>
    </w:p>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单位：万元 </w:t>
      </w:r>
    </w:p>
    <w:tbl>
      <w:tblPr>
        <w:tblStyle w:val="2"/>
        <w:tblW w:w="13921"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23"/>
        <w:gridCol w:w="1587"/>
        <w:gridCol w:w="823"/>
        <w:gridCol w:w="1227"/>
        <w:gridCol w:w="1242"/>
        <w:gridCol w:w="1257"/>
        <w:gridCol w:w="793"/>
        <w:gridCol w:w="1557"/>
        <w:gridCol w:w="793"/>
        <w:gridCol w:w="1393"/>
        <w:gridCol w:w="1213"/>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556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2020年度预算数 </w:t>
            </w:r>
          </w:p>
        </w:tc>
        <w:tc>
          <w:tcPr>
            <w:tcW w:w="556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2020年度决算数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合计 </w:t>
            </w:r>
          </w:p>
        </w:tc>
        <w:tc>
          <w:tcPr>
            <w:tcW w:w="12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因公出国(境）费 </w:t>
            </w:r>
          </w:p>
        </w:tc>
        <w:tc>
          <w:tcPr>
            <w:tcW w:w="2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公务用车购置及运行费 </w:t>
            </w:r>
          </w:p>
        </w:tc>
        <w:tc>
          <w:tcPr>
            <w:tcW w:w="9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公务接待费 </w:t>
            </w:r>
          </w:p>
        </w:tc>
        <w:tc>
          <w:tcPr>
            <w:tcW w:w="6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合计 </w:t>
            </w:r>
          </w:p>
        </w:tc>
        <w:tc>
          <w:tcPr>
            <w:tcW w:w="12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因公出国(境）费 </w:t>
            </w:r>
          </w:p>
        </w:tc>
        <w:tc>
          <w:tcPr>
            <w:tcW w:w="27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公务用车购置及运行费 </w:t>
            </w:r>
          </w:p>
        </w:tc>
        <w:tc>
          <w:tcPr>
            <w:tcW w:w="9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公务接待费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24"/>
                <w:szCs w:val="24"/>
              </w:rPr>
            </w:pPr>
          </w:p>
        </w:tc>
        <w:tc>
          <w:tcPr>
            <w:tcW w:w="12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24"/>
                <w:szCs w:val="24"/>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小计 </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公务用车 购置费 </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公务用车 运行费 </w:t>
            </w:r>
          </w:p>
        </w:tc>
        <w:tc>
          <w:tcPr>
            <w:tcW w:w="9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24"/>
                <w:szCs w:val="24"/>
              </w:rPr>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24"/>
                <w:szCs w:val="24"/>
              </w:rPr>
            </w:pP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24"/>
                <w:szCs w:val="24"/>
              </w:rPr>
            </w:pP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小计 </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公务用车 购置费 </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公务用车 运行费 </w:t>
            </w:r>
          </w:p>
        </w:tc>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 </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 </w:t>
            </w:r>
          </w:p>
        </w:tc>
        <w:tc>
          <w:tcPr>
            <w:tcW w:w="9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4 </w:t>
            </w:r>
          </w:p>
        </w:tc>
        <w:tc>
          <w:tcPr>
            <w:tcW w:w="9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5 </w:t>
            </w:r>
          </w:p>
        </w:tc>
        <w:tc>
          <w:tcPr>
            <w:tcW w:w="97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6 </w:t>
            </w:r>
          </w:p>
        </w:tc>
        <w:tc>
          <w:tcPr>
            <w:tcW w:w="6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7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8 </w:t>
            </w:r>
          </w:p>
        </w:tc>
        <w:tc>
          <w:tcPr>
            <w:tcW w:w="6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9 </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10 </w:t>
            </w: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11 </w:t>
            </w:r>
          </w:p>
        </w:tc>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2.50 </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2.50 </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2.50 </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2.45 </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2.45 </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2.45 </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0.00 </w:t>
            </w:r>
          </w:p>
        </w:tc>
      </w:tr>
    </w:tbl>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注：本表反映单位本年度“三公”经费支出预决算情况。其中，2020年度预算数为“三公”经费年初预算数，决算数是包括当年一般公共预算财政拨款和以前年度结转资金安排的实际支出。 </w:t>
      </w:r>
    </w:p>
    <w:p>
      <w:pPr>
        <w:keepNext w:val="0"/>
        <w:keepLines w:val="0"/>
        <w:widowControl/>
        <w:suppressLineNumbers w:val="0"/>
        <w:jc w:val="left"/>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p>
    <w:tbl>
      <w:tblPr>
        <w:tblStyle w:val="2"/>
        <w:tblW w:w="1248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3"/>
        <w:gridCol w:w="1377"/>
        <w:gridCol w:w="764"/>
        <w:gridCol w:w="1034"/>
        <w:gridCol w:w="1034"/>
        <w:gridCol w:w="1034"/>
        <w:gridCol w:w="1034"/>
        <w:gridCol w:w="1034"/>
        <w:gridCol w:w="1049"/>
        <w:gridCol w:w="1034"/>
        <w:gridCol w:w="1019"/>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2480" w:type="dxa"/>
            <w:gridSpan w:val="12"/>
            <w:shd w:val="clear" w:color="auto" w:fill="auto"/>
            <w:vAlign w:val="bottom"/>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表八：政府性基金预算财政拨款收入支出决算表</w:t>
            </w:r>
            <w:r>
              <w:rPr>
                <w:rFonts w:hint="eastAsia" w:ascii="宋体" w:hAnsi="宋体" w:eastAsia="宋体" w:cs="宋体"/>
                <w:kern w:val="0"/>
                <w:sz w:val="28"/>
                <w:szCs w:val="2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033" w:type="dxa"/>
            <w:shd w:val="clear" w:color="auto" w:fill="auto"/>
            <w:vAlign w:val="bottom"/>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377" w:type="dxa"/>
            <w:shd w:val="clear" w:color="auto" w:fill="auto"/>
            <w:vAlign w:val="bottom"/>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764" w:type="dxa"/>
            <w:shd w:val="clear" w:color="auto" w:fill="auto"/>
            <w:vAlign w:val="bottom"/>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shd w:val="clear" w:color="auto" w:fill="auto"/>
            <w:vAlign w:val="bottom"/>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shd w:val="clear" w:color="auto" w:fill="auto"/>
            <w:vAlign w:val="bottom"/>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shd w:val="clear" w:color="auto" w:fill="auto"/>
            <w:vAlign w:val="bottom"/>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shd w:val="clear" w:color="auto" w:fill="auto"/>
            <w:vAlign w:val="bottom"/>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shd w:val="clear" w:color="auto" w:fill="auto"/>
            <w:vAlign w:val="bottom"/>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49" w:type="dxa"/>
            <w:shd w:val="clear" w:color="auto" w:fill="auto"/>
            <w:vAlign w:val="bottom"/>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shd w:val="clear" w:color="auto" w:fill="auto"/>
            <w:vAlign w:val="bottom"/>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053" w:type="dxa"/>
            <w:gridSpan w:val="2"/>
            <w:shd w:val="clear" w:color="auto" w:fill="auto"/>
            <w:vAlign w:val="bottom"/>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支出功能分类科目编码 </w:t>
            </w: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科目名称 </w:t>
            </w:r>
          </w:p>
        </w:tc>
        <w:tc>
          <w:tcPr>
            <w:tcW w:w="283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年初结转和结余 </w:t>
            </w:r>
          </w:p>
        </w:tc>
        <w:tc>
          <w:tcPr>
            <w:tcW w:w="103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本年收入 </w:t>
            </w:r>
          </w:p>
        </w:tc>
        <w:tc>
          <w:tcPr>
            <w:tcW w:w="311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本年支出 </w:t>
            </w:r>
          </w:p>
        </w:tc>
        <w:tc>
          <w:tcPr>
            <w:tcW w:w="308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年末结转和结余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76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合计 </w:t>
            </w:r>
          </w:p>
        </w:tc>
        <w:tc>
          <w:tcPr>
            <w:tcW w:w="103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基本支出结转 </w:t>
            </w:r>
          </w:p>
        </w:tc>
        <w:tc>
          <w:tcPr>
            <w:tcW w:w="103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项目支出结转和结余 </w:t>
            </w:r>
          </w:p>
        </w:tc>
        <w:tc>
          <w:tcPr>
            <w:tcW w:w="10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4"/>
                <w:szCs w:val="24"/>
              </w:rPr>
            </w:pPr>
          </w:p>
        </w:tc>
        <w:tc>
          <w:tcPr>
            <w:tcW w:w="103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合计 </w:t>
            </w:r>
          </w:p>
        </w:tc>
        <w:tc>
          <w:tcPr>
            <w:tcW w:w="103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基本支出 </w:t>
            </w:r>
          </w:p>
        </w:tc>
        <w:tc>
          <w:tcPr>
            <w:tcW w:w="104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项目支出 </w:t>
            </w:r>
          </w:p>
        </w:tc>
        <w:tc>
          <w:tcPr>
            <w:tcW w:w="103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合计 </w:t>
            </w:r>
          </w:p>
        </w:tc>
        <w:tc>
          <w:tcPr>
            <w:tcW w:w="101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基本支出结转 </w:t>
            </w:r>
          </w:p>
        </w:tc>
        <w:tc>
          <w:tcPr>
            <w:tcW w:w="103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项目支出结转和结余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4"/>
                <w:szCs w:val="24"/>
              </w:rPr>
            </w:pPr>
          </w:p>
        </w:tc>
        <w:tc>
          <w:tcPr>
            <w:tcW w:w="10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4"/>
                <w:szCs w:val="24"/>
              </w:rPr>
            </w:pPr>
          </w:p>
        </w:tc>
        <w:tc>
          <w:tcPr>
            <w:tcW w:w="101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4"/>
                <w:szCs w:val="24"/>
              </w:rPr>
            </w:pPr>
          </w:p>
        </w:tc>
        <w:tc>
          <w:tcPr>
            <w:tcW w:w="10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合  计 </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类 </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款 </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4"/>
                <w:szCs w:val="24"/>
                <w:lang w:val="en-US" w:eastAsia="zh-CN" w:bidi="ar"/>
              </w:rPr>
              <w:t>　项</w:t>
            </w:r>
            <w:r>
              <w:rPr>
                <w:rFonts w:hint="eastAsia" w:ascii="宋体" w:hAnsi="宋体" w:eastAsia="宋体" w:cs="宋体"/>
                <w:kern w:val="0"/>
                <w:sz w:val="28"/>
                <w:szCs w:val="28"/>
                <w:lang w:val="en-US" w:eastAsia="zh-CN" w:bidi="ar"/>
              </w:rPr>
              <w:t xml:space="preserve"> </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jc w:val="center"/>
        </w:trPr>
        <w:tc>
          <w:tcPr>
            <w:tcW w:w="103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37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7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4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1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c>
          <w:tcPr>
            <w:tcW w:w="103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r>
              <w:rPr>
                <w:rFonts w:hint="eastAsia" w:ascii="宋体" w:hAnsi="宋体" w:eastAsia="宋体" w:cs="宋体"/>
                <w:kern w:val="0"/>
                <w:sz w:val="28"/>
                <w:szCs w:val="28"/>
                <w:lang w:val="en-US" w:eastAsia="zh-CN" w:bidi="ar"/>
              </w:rPr>
              <w:t xml:space="preserve"> </w:t>
            </w:r>
          </w:p>
        </w:tc>
      </w:tr>
    </w:tbl>
    <w:p>
      <w:pPr>
        <w:keepNext w:val="0"/>
        <w:keepLines w:val="0"/>
        <w:widowControl/>
        <w:suppressLineNumbers w:val="0"/>
        <w:spacing w:before="0" w:beforeAutospacing="1" w:after="0" w:afterAutospacing="1"/>
        <w:ind w:left="0" w:right="0" w:firstLine="4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注：1.本表反映单位本年度政府性基金预算财政拨款收入支出及结转和结余情况。 </w:t>
      </w:r>
    </w:p>
    <w:p>
      <w:pPr>
        <w:keepNext w:val="0"/>
        <w:keepLines w:val="0"/>
        <w:widowControl/>
        <w:suppressLineNumbers w:val="0"/>
        <w:spacing w:before="0" w:beforeAutospacing="1" w:after="0" w:afterAutospacing="1"/>
        <w:ind w:left="0" w:right="0" w:firstLine="84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2.柳州铁道职业技术学院</w:t>
      </w:r>
      <w:r>
        <w:rPr>
          <w:rFonts w:hint="eastAsia" w:ascii="宋体" w:hAnsi="宋体" w:eastAsia="宋体" w:cs="宋体"/>
          <w:b/>
          <w:bCs/>
          <w:kern w:val="0"/>
          <w:sz w:val="24"/>
          <w:szCs w:val="24"/>
          <w:lang w:val="en-US" w:eastAsia="zh-CN" w:bidi="ar"/>
        </w:rPr>
        <w:t>没有政府性基金</w:t>
      </w:r>
      <w:r>
        <w:rPr>
          <w:rFonts w:hint="eastAsia" w:ascii="宋体" w:hAnsi="宋体" w:eastAsia="宋体" w:cs="宋体"/>
          <w:kern w:val="0"/>
          <w:sz w:val="24"/>
          <w:szCs w:val="24"/>
          <w:lang w:val="en-US" w:eastAsia="zh-CN" w:bidi="ar"/>
        </w:rPr>
        <w:t>预算财政拨款</w:t>
      </w:r>
      <w:r>
        <w:rPr>
          <w:rFonts w:hint="eastAsia" w:ascii="宋体" w:hAnsi="宋体" w:eastAsia="宋体" w:cs="宋体"/>
          <w:b/>
          <w:bCs/>
          <w:kern w:val="0"/>
          <w:sz w:val="24"/>
          <w:szCs w:val="24"/>
          <w:lang w:val="en-US" w:eastAsia="zh-CN" w:bidi="ar"/>
        </w:rPr>
        <w:t>收入，也没有政府性基金</w:t>
      </w:r>
      <w:r>
        <w:rPr>
          <w:rFonts w:hint="eastAsia" w:ascii="宋体" w:hAnsi="宋体" w:eastAsia="宋体" w:cs="宋体"/>
          <w:kern w:val="0"/>
          <w:sz w:val="24"/>
          <w:szCs w:val="24"/>
          <w:lang w:val="en-US" w:eastAsia="zh-CN" w:bidi="ar"/>
        </w:rPr>
        <w:t>预算财政拨款</w:t>
      </w:r>
      <w:r>
        <w:rPr>
          <w:rFonts w:hint="eastAsia" w:ascii="宋体" w:hAnsi="宋体" w:eastAsia="宋体" w:cs="宋体"/>
          <w:b/>
          <w:bCs/>
          <w:kern w:val="0"/>
          <w:sz w:val="24"/>
          <w:szCs w:val="24"/>
          <w:lang w:val="en-US" w:eastAsia="zh-CN" w:bidi="ar"/>
        </w:rPr>
        <w:t>安排的支出，故本表无数据。</w:t>
      </w: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1" w:after="0" w:afterAutospacing="1"/>
        <w:ind w:right="0"/>
        <w:jc w:val="left"/>
        <w:rPr>
          <w:rFonts w:hint="eastAsia" w:ascii="宋体" w:hAnsi="宋体" w:eastAsia="宋体" w:cs="宋体"/>
          <w:sz w:val="28"/>
          <w:szCs w:val="28"/>
        </w:rPr>
      </w:pPr>
    </w:p>
    <w:tbl>
      <w:tblPr>
        <w:tblStyle w:val="2"/>
        <w:tblW w:w="1352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610"/>
        <w:gridCol w:w="2236"/>
        <w:gridCol w:w="3241"/>
        <w:gridCol w:w="1335"/>
        <w:gridCol w:w="4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13520" w:type="dxa"/>
            <w:gridSpan w:val="5"/>
            <w:shd w:val="clear" w:color="auto" w:fill="FFFFFF"/>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表九：国有资本经营预算财政拨款支出决算表</w:t>
            </w:r>
            <w:r>
              <w:rPr>
                <w:rFonts w:hint="eastAsia" w:ascii="宋体" w:hAnsi="宋体" w:eastAsia="宋体" w:cs="宋体"/>
                <w:kern w:val="0"/>
                <w:sz w:val="28"/>
                <w:szCs w:val="2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1352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单位：   </w:t>
            </w:r>
          </w:p>
          <w:p>
            <w:pPr>
              <w:keepNext w:val="0"/>
              <w:keepLines w:val="0"/>
              <w:widowControl/>
              <w:suppressLineNumbers w:val="0"/>
              <w:spacing w:before="0" w:beforeAutospacing="1" w:after="0" w:afterAutospacing="1"/>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4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项    目 </w:t>
            </w:r>
          </w:p>
        </w:tc>
        <w:tc>
          <w:tcPr>
            <w:tcW w:w="86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功能分类科目编码 </w:t>
            </w:r>
          </w:p>
        </w:tc>
        <w:tc>
          <w:tcPr>
            <w:tcW w:w="22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科目名称 </w:t>
            </w:r>
          </w:p>
        </w:tc>
        <w:tc>
          <w:tcPr>
            <w:tcW w:w="3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合计 </w:t>
            </w:r>
          </w:p>
        </w:tc>
        <w:tc>
          <w:tcPr>
            <w:tcW w:w="13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基本支出   </w:t>
            </w:r>
          </w:p>
        </w:tc>
        <w:tc>
          <w:tcPr>
            <w:tcW w:w="40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2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32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13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40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22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32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13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40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4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栏次 </w:t>
            </w:r>
          </w:p>
        </w:tc>
        <w:tc>
          <w:tcPr>
            <w:tcW w:w="3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 </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 </w:t>
            </w:r>
          </w:p>
        </w:tc>
        <w:tc>
          <w:tcPr>
            <w:tcW w:w="4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4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合计 </w:t>
            </w:r>
          </w:p>
        </w:tc>
        <w:tc>
          <w:tcPr>
            <w:tcW w:w="3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3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3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3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3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c>
          <w:tcPr>
            <w:tcW w:w="4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13520" w:type="dxa"/>
            <w:gridSpan w:val="5"/>
            <w:shd w:val="clear" w:color="auto" w:fill="auto"/>
            <w:vAlign w:val="center"/>
          </w:tcPr>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注：1.本表反映单位本年度国有资本经营预算财政拨款支出情况。 </w:t>
            </w:r>
          </w:p>
          <w:p>
            <w:pPr>
              <w:keepNext w:val="0"/>
              <w:keepLines w:val="0"/>
              <w:widowControl/>
              <w:suppressLineNumbers w:val="0"/>
              <w:spacing w:before="0" w:beforeAutospacing="1" w:after="0" w:afterAutospacing="1"/>
              <w:ind w:left="0" w:right="0"/>
              <w:jc w:val="left"/>
              <w:textAlignment w:val="center"/>
              <w:rPr>
                <w:rFonts w:hint="eastAsia" w:ascii="宋体" w:hAnsi="宋体" w:eastAsia="宋体" w:cs="宋体"/>
                <w:sz w:val="28"/>
                <w:szCs w:val="28"/>
              </w:rPr>
            </w:pPr>
            <w:r>
              <w:rPr>
                <w:rFonts w:hint="eastAsia" w:ascii="宋体" w:hAnsi="宋体" w:eastAsia="宋体" w:cs="宋体"/>
                <w:kern w:val="0"/>
                <w:sz w:val="24"/>
                <w:szCs w:val="24"/>
                <w:lang w:val="en-US" w:eastAsia="zh-CN" w:bidi="ar"/>
              </w:rPr>
              <w:t>　　2.柳州铁道职业技术学院没有国有资本经营预算财政拨款收入，也没有国有资本经营预算财政拨款安排的支出，故本表无数据</w:t>
            </w:r>
            <w:r>
              <w:rPr>
                <w:rFonts w:hint="eastAsia" w:ascii="宋体" w:hAnsi="宋体" w:eastAsia="宋体" w:cs="宋体"/>
                <w:b/>
                <w:bCs/>
                <w:kern w:val="0"/>
                <w:sz w:val="24"/>
                <w:szCs w:val="24"/>
                <w:lang w:val="en-US" w:eastAsia="zh-CN" w:bidi="ar"/>
              </w:rPr>
              <w:t>。</w:t>
            </w:r>
            <w:r>
              <w:rPr>
                <w:rFonts w:hint="eastAsia" w:ascii="宋体" w:hAnsi="宋体" w:eastAsia="宋体" w:cs="宋体"/>
                <w:kern w:val="0"/>
                <w:sz w:val="24"/>
                <w:szCs w:val="24"/>
                <w:lang w:val="en-US" w:eastAsia="zh-CN" w:bidi="ar"/>
              </w:rPr>
              <w:t xml:space="preserve"> </w:t>
            </w:r>
          </w:p>
        </w:tc>
      </w:tr>
    </w:tbl>
    <w:p>
      <w:pPr>
        <w:keepNext w:val="0"/>
        <w:keepLines w:val="0"/>
        <w:widowControl/>
        <w:suppressLineNumbers w:val="0"/>
        <w:jc w:val="left"/>
        <w:rPr>
          <w:rFonts w:hint="eastAsia" w:ascii="宋体" w:hAnsi="宋体" w:eastAsia="宋体" w:cs="宋体"/>
          <w:sz w:val="28"/>
          <w:szCs w:val="28"/>
        </w:rPr>
      </w:pPr>
    </w:p>
    <w:p>
      <w:pPr>
        <w:keepNext w:val="0"/>
        <w:keepLines w:val="0"/>
        <w:widowControl/>
        <w:suppressLineNumbers w:val="0"/>
        <w:jc w:val="left"/>
        <w:rPr>
          <w:rFonts w:hint="eastAsia" w:ascii="宋体" w:hAnsi="宋体" w:eastAsia="宋体" w:cs="宋体"/>
          <w:sz w:val="28"/>
          <w:szCs w:val="28"/>
        </w:rPr>
        <w:sectPr>
          <w:pgSz w:w="16838" w:h="11906" w:orient="landscape"/>
          <w:pgMar w:top="1800" w:right="1440" w:bottom="1800" w:left="1440" w:header="851" w:footer="992" w:gutter="0"/>
          <w:cols w:space="425" w:num="1"/>
          <w:docGrid w:type="lines" w:linePitch="312" w:charSpace="0"/>
        </w:sectPr>
      </w:pPr>
    </w:p>
    <w:p>
      <w:pPr>
        <w:keepNext w:val="0"/>
        <w:keepLines w:val="0"/>
        <w:widowControl/>
        <w:suppressLineNumbers w:val="0"/>
        <w:spacing w:before="0" w:beforeAutospacing="1" w:after="0" w:afterAutospacing="1"/>
        <w:ind w:right="0"/>
        <w:jc w:val="left"/>
        <w:rPr>
          <w:rFonts w:hint="eastAsia" w:ascii="宋体" w:hAnsi="宋体" w:eastAsia="宋体" w:cs="宋体"/>
          <w:sz w:val="28"/>
          <w:szCs w:val="28"/>
        </w:rPr>
      </w:pPr>
      <w:bookmarkStart w:id="0" w:name="_GoBack"/>
      <w:bookmarkEnd w:id="0"/>
      <w:r>
        <w:rPr>
          <w:rFonts w:hint="eastAsia" w:ascii="宋体" w:hAnsi="宋体" w:eastAsia="宋体" w:cs="宋体"/>
          <w:b/>
          <w:bCs/>
          <w:kern w:val="0"/>
          <w:sz w:val="28"/>
          <w:szCs w:val="28"/>
          <w:lang w:val="en-US" w:eastAsia="zh-CN" w:bidi="ar"/>
        </w:rPr>
        <w:t>第三部分：柳州铁道职业技术学院2020年度</w:t>
      </w:r>
      <w:r>
        <w:rPr>
          <w:rFonts w:hint="eastAsia" w:ascii="宋体" w:hAnsi="宋体" w:eastAsia="宋体" w:cs="宋体"/>
          <w:b/>
          <w:bCs/>
          <w:kern w:val="0"/>
          <w:sz w:val="28"/>
          <w:szCs w:val="28"/>
          <w:lang w:val="en-US" w:eastAsia="zh-CN" w:bidi="ar"/>
        </w:rPr>
        <w:t>单位</w:t>
      </w:r>
      <w:r>
        <w:rPr>
          <w:rFonts w:hint="eastAsia" w:ascii="宋体" w:hAnsi="宋体" w:eastAsia="宋体" w:cs="宋体"/>
          <w:b/>
          <w:bCs/>
          <w:kern w:val="0"/>
          <w:sz w:val="28"/>
          <w:szCs w:val="28"/>
          <w:lang w:val="en-US" w:eastAsia="zh-CN" w:bidi="ar"/>
        </w:rPr>
        <w:t>决算情况说明</w:t>
      </w:r>
    </w:p>
    <w:p>
      <w:pPr>
        <w:keepNext w:val="0"/>
        <w:keepLines w:val="0"/>
        <w:widowControl/>
        <w:suppressLineNumbers w:val="0"/>
        <w:spacing w:before="0" w:beforeAutospacing="1" w:after="0" w:afterAutospacing="1"/>
        <w:ind w:left="0" w:right="0" w:firstLine="562"/>
        <w:jc w:val="left"/>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一、2020年度收入支出决算总体情况</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2020年度收入合计30,445.81万元，支出合计29,992.35万元，与2019年相比，收、支分别增加930.6万元和635.14万元；分别增长3.15%和2.16%。 </w:t>
      </w:r>
    </w:p>
    <w:p>
      <w:pPr>
        <w:keepNext w:val="0"/>
        <w:keepLines w:val="0"/>
        <w:widowControl/>
        <w:suppressLineNumbers w:val="0"/>
        <w:spacing w:before="0" w:beforeAutospacing="1" w:after="0" w:afterAutospacing="1"/>
        <w:ind w:left="0" w:right="0" w:firstLine="562"/>
        <w:jc w:val="left"/>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二、2020年度收入决算情况</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本年收入合计30,445.81万元 ，其中：一般公共预算财政拨款收入15,939.98万元，占比52.36% ；事业收入14,501.71万元，占比47.63%；其他收入4.12万元，占比0.01%。 </w:t>
      </w:r>
    </w:p>
    <w:p>
      <w:pPr>
        <w:keepNext w:val="0"/>
        <w:keepLines w:val="0"/>
        <w:widowControl/>
        <w:suppressLineNumbers w:val="0"/>
        <w:spacing w:before="0" w:beforeAutospacing="1" w:after="0" w:afterAutospacing="1"/>
        <w:ind w:left="0" w:right="0" w:firstLine="562"/>
        <w:jc w:val="left"/>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三、2020年度支出决算情况</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本年支出合计29,992.35万元，其中：基本支出22,136.7万元，占73.81%；项目支出7,855.65万元，占26.19%。 </w:t>
      </w:r>
    </w:p>
    <w:p>
      <w:pPr>
        <w:keepNext w:val="0"/>
        <w:keepLines w:val="0"/>
        <w:widowControl/>
        <w:suppressLineNumbers w:val="0"/>
        <w:spacing w:before="0" w:beforeAutospacing="1" w:after="0" w:afterAutospacing="1"/>
        <w:ind w:left="0" w:right="0" w:firstLine="562"/>
        <w:jc w:val="left"/>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四、2020年度财政拨款收入支出决算情况</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本</w:t>
      </w:r>
      <w:r>
        <w:rPr>
          <w:rFonts w:hint="eastAsia" w:ascii="宋体" w:hAnsi="宋体" w:eastAsia="宋体" w:cs="宋体"/>
          <w:kern w:val="0"/>
          <w:sz w:val="28"/>
          <w:szCs w:val="28"/>
          <w:lang w:val="en-US" w:eastAsia="zh-CN" w:bidi="ar"/>
        </w:rPr>
        <w:t>单位</w:t>
      </w:r>
      <w:r>
        <w:rPr>
          <w:rFonts w:hint="eastAsia" w:ascii="宋体" w:hAnsi="宋体" w:eastAsia="宋体" w:cs="宋体"/>
          <w:kern w:val="0"/>
          <w:sz w:val="28"/>
          <w:szCs w:val="28"/>
          <w:lang w:val="en-US" w:eastAsia="zh-CN" w:bidi="ar"/>
        </w:rPr>
        <w:t xml:space="preserve">2020年度财政拨款收、支总决算分别为15,939.98万元、16,138.24万元。与 2019年相比，财政拨款收、支总计各增加1,623.56万元和1,787.02万元，分别增长11.34%和12.45%。 </w:t>
      </w:r>
    </w:p>
    <w:p>
      <w:pPr>
        <w:keepNext w:val="0"/>
        <w:keepLines w:val="0"/>
        <w:widowControl/>
        <w:suppressLineNumbers w:val="0"/>
        <w:spacing w:before="0" w:beforeAutospacing="1" w:after="0" w:afterAutospacing="1"/>
        <w:ind w:left="0" w:right="0" w:firstLine="562"/>
        <w:jc w:val="left"/>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五、2020年度一般公共预算财政拨款支出决算情况</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（一）财政拨款支出决算情况。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单位</w:t>
      </w:r>
      <w:r>
        <w:rPr>
          <w:rFonts w:hint="eastAsia" w:ascii="宋体" w:hAnsi="宋体" w:eastAsia="宋体" w:cs="宋体"/>
          <w:kern w:val="0"/>
          <w:sz w:val="28"/>
          <w:szCs w:val="28"/>
          <w:lang w:val="en-US" w:eastAsia="zh-CN" w:bidi="ar"/>
        </w:rPr>
        <w:t xml:space="preserve"> 2020年度财政拨款支出16,138.24万元，占本年支出合计的53.81%。与2019年相比，财政拨款支出增加1,787.02万元，增长12.45%。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（二）财政拨款支出决算结构情况。 </w:t>
      </w: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2020 年度财政拨款支出16,138.24万元，主要用于以下方面：教育（类）支出16,121.76万元，占99.9%；文化体育与传媒（类）支出16.48万元，占0.1%。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六、</w:t>
      </w:r>
      <w:r>
        <w:rPr>
          <w:rFonts w:hint="eastAsia" w:ascii="宋体" w:hAnsi="宋体" w:eastAsia="宋体" w:cs="宋体"/>
          <w:b/>
          <w:bCs/>
          <w:kern w:val="0"/>
          <w:sz w:val="28"/>
          <w:szCs w:val="28"/>
          <w:lang w:val="en-US" w:eastAsia="zh-CN" w:bidi="ar"/>
        </w:rPr>
        <w:t>2020年度一般公共预算财政拨款基本支出决算情况</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2020年度财政拨款基本支出8,916.90万元，其中：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人员经费7,721.67万元，主要包括：基本工资、津贴补贴、奖金、伙食补助费、绩效工资、机关事业单位基本养老保险缴费、职业年金缴费、其他社会保障缴费、其他工资福利支出、离休费、退休费、抚恤金、生活补助、医疗费、奖励金、住房公积金、其他工资福利支出、离休费、退休费、生活补助、医疗费补助等；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公用经费1,195.23万元，主要包括：办公费、印刷费、水费、电费、邮电费、物业管理费、差旅费、维修（护）费、劳务费、委托业务费、工会经费、公务用车运行维护费、其他交通费用、其他商品和服务支出。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七、</w:t>
      </w:r>
      <w:r>
        <w:rPr>
          <w:rFonts w:hint="eastAsia" w:ascii="宋体" w:hAnsi="宋体" w:eastAsia="宋体" w:cs="宋体"/>
          <w:b/>
          <w:bCs/>
          <w:kern w:val="0"/>
          <w:sz w:val="28"/>
          <w:szCs w:val="28"/>
          <w:lang w:val="en-US" w:eastAsia="zh-CN" w:bidi="ar"/>
        </w:rPr>
        <w:t>2020 年度一般公共预算财政拨款“三公” 经费支出决算情况</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（一）“三公”经费财政拨款支出决算总体情况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2020年度“三公”经费财政拨款支出预算为2.5万元，支出决算为2.45万元，完成预算的98%，其中：公务用车购置及运行费支出决算为2.45万元，完成预算的98%。2020年度“三公”经费支出决算数小于预算数的主要原因是认真贯彻落实中央八项规定精神和厉行节约要求，进一步从严控制“三公”经费开支，全年实际支出比预算有所节约。 </w:t>
      </w: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（二）“三公”经费财政拨款支出决算具体情况 </w:t>
      </w: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2020年度“三公”经费财政拨款支出决算中，公务用车购置及运行费支出决算2.45万元，占100%。具体情况如下：   </w:t>
      </w: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1.公务用车购置及运行费支出2.45万元。其中：公务用车运行支出2.45万元，主要用于公务用车产生的油料、通行费等运行支出；公务用车购置支出为0万元。2020年，本单位开支财政拨款的公务用车保有量为8辆。 </w:t>
      </w: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2.一般公共预算财政支出公务接待费为0万元。 </w:t>
      </w: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3.因公出国（境）费支出决算数为0万元，主要是受疫情影响，学校不安排出国公务活动。 </w:t>
      </w: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八、</w:t>
      </w:r>
      <w:r>
        <w:rPr>
          <w:rFonts w:hint="eastAsia" w:ascii="宋体" w:hAnsi="宋体" w:eastAsia="宋体" w:cs="宋体"/>
          <w:b/>
          <w:bCs/>
          <w:kern w:val="0"/>
          <w:sz w:val="28"/>
          <w:szCs w:val="28"/>
          <w:lang w:val="en-US" w:eastAsia="zh-CN" w:bidi="ar"/>
        </w:rPr>
        <w:t xml:space="preserve">2020 年度政府性基金预算财政拨款收入支出决算情况说明 </w:t>
      </w: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本单位没有政府性基金预算财政拨款收入，也没有政府性基金预算财政拨款安排的支出，故本表无数据</w:t>
      </w:r>
      <w:r>
        <w:rPr>
          <w:rFonts w:hint="eastAsia" w:ascii="宋体" w:hAnsi="宋体" w:eastAsia="宋体" w:cs="宋体"/>
          <w:b/>
          <w:bCs/>
          <w:kern w:val="0"/>
          <w:sz w:val="28"/>
          <w:szCs w:val="28"/>
          <w:lang w:val="en-US" w:eastAsia="zh-CN" w:bidi="ar"/>
        </w:rPr>
        <w:t>。</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1" w:after="0" w:afterAutospacing="1"/>
        <w:ind w:left="0" w:right="0" w:firstLine="562"/>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九、</w:t>
      </w:r>
      <w:r>
        <w:rPr>
          <w:rFonts w:hint="eastAsia" w:ascii="宋体" w:hAnsi="宋体" w:eastAsia="宋体" w:cs="宋体"/>
          <w:b/>
          <w:bCs/>
          <w:kern w:val="0"/>
          <w:sz w:val="28"/>
          <w:szCs w:val="28"/>
          <w:lang w:val="en-US" w:eastAsia="zh-CN" w:bidi="ar"/>
        </w:rPr>
        <w:t>国有资本经营预算财政拨款支出情况说明</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    </w:t>
      </w:r>
      <w:r>
        <w:rPr>
          <w:rFonts w:hint="eastAsia" w:ascii="宋体" w:hAnsi="宋体" w:eastAsia="宋体" w:cs="宋体"/>
          <w:kern w:val="0"/>
          <w:sz w:val="28"/>
          <w:szCs w:val="28"/>
          <w:lang w:val="en-US" w:eastAsia="zh-CN" w:bidi="ar"/>
        </w:rPr>
        <w:t>本单位没有国有资本经营预算财政拨款收入，也没有国有资本经营预算财政拨款安排的支出，故本表无数据</w:t>
      </w:r>
      <w:r>
        <w:rPr>
          <w:rFonts w:hint="eastAsia" w:ascii="宋体" w:hAnsi="宋体" w:eastAsia="宋体" w:cs="宋体"/>
          <w:b/>
          <w:bCs/>
          <w:kern w:val="0"/>
          <w:sz w:val="28"/>
          <w:szCs w:val="28"/>
          <w:lang w:val="en-US" w:eastAsia="zh-CN" w:bidi="ar"/>
        </w:rPr>
        <w:t>。</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1" w:after="0" w:afterAutospacing="1"/>
        <w:ind w:left="0" w:right="0" w:firstLine="562"/>
        <w:jc w:val="left"/>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十、2020 年度预算绩效情况说明</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（一）绩效管理工作开展情况 </w:t>
      </w: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根据财政预算管理要求，我</w:t>
      </w:r>
      <w:r>
        <w:rPr>
          <w:rFonts w:hint="eastAsia" w:ascii="宋体" w:hAnsi="宋体" w:eastAsia="宋体" w:cs="宋体"/>
          <w:kern w:val="0"/>
          <w:sz w:val="28"/>
          <w:szCs w:val="28"/>
          <w:lang w:val="en-US" w:eastAsia="zh-CN" w:bidi="ar"/>
        </w:rPr>
        <w:t>单位</w:t>
      </w:r>
      <w:r>
        <w:rPr>
          <w:rFonts w:hint="eastAsia" w:ascii="宋体" w:hAnsi="宋体" w:eastAsia="宋体" w:cs="宋体"/>
          <w:kern w:val="0"/>
          <w:sz w:val="28"/>
          <w:szCs w:val="28"/>
          <w:lang w:val="en-US" w:eastAsia="zh-CN" w:bidi="ar"/>
        </w:rPr>
        <w:t xml:space="preserve">组织对2020年度一般公共预算项目支出开展绩效自评。其中，二级项目1个，共涉及预算资金223.87万元，自评覆盖率达到100%。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w:t>
      </w:r>
      <w:r>
        <w:rPr>
          <w:rFonts w:hint="eastAsia" w:ascii="宋体" w:hAnsi="宋体" w:eastAsia="宋体" w:cs="宋体"/>
          <w:kern w:val="0"/>
          <w:sz w:val="28"/>
          <w:szCs w:val="28"/>
          <w:lang w:val="en-US" w:eastAsia="zh-CN" w:bidi="ar"/>
        </w:rPr>
        <w:t>单位</w:t>
      </w:r>
      <w:r>
        <w:rPr>
          <w:rFonts w:hint="eastAsia" w:ascii="宋体" w:hAnsi="宋体" w:eastAsia="宋体" w:cs="宋体"/>
          <w:kern w:val="0"/>
          <w:sz w:val="28"/>
          <w:szCs w:val="28"/>
          <w:lang w:val="en-US" w:eastAsia="zh-CN" w:bidi="ar"/>
        </w:rPr>
        <w:t xml:space="preserve">决算中项目绩效自评结果。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我</w:t>
      </w:r>
      <w:r>
        <w:rPr>
          <w:rFonts w:hint="eastAsia" w:ascii="宋体" w:hAnsi="宋体" w:eastAsia="宋体" w:cs="宋体"/>
          <w:kern w:val="0"/>
          <w:sz w:val="28"/>
          <w:szCs w:val="28"/>
          <w:lang w:val="en-US" w:eastAsia="zh-CN" w:bidi="ar"/>
        </w:rPr>
        <w:t>单位</w:t>
      </w:r>
      <w:r>
        <w:rPr>
          <w:rFonts w:hint="eastAsia" w:ascii="宋体" w:hAnsi="宋体" w:eastAsia="宋体" w:cs="宋体"/>
          <w:kern w:val="0"/>
          <w:sz w:val="28"/>
          <w:szCs w:val="28"/>
          <w:lang w:val="en-US" w:eastAsia="zh-CN" w:bidi="ar"/>
        </w:rPr>
        <w:t xml:space="preserve">根据年初设定的绩效目标，高职助学金市级配套专项经费项目自评得分为96.81分。发现的主要问题及原因：教育厅在提前制定国家助学金资金预算时不能100%准确预估贫困生人数和等级，只能根据往年各校贫困生人数和国家助学金使用金额做为参考，而每学年开学贫困生需要重新认定，所以教育厅下拨的国家助学金无法与实际发放的国家助学金金额一致，各高校都存在结余或不足的情况。下一步改进措施：对符合国家助学金资助条件的贫困生进行全覆盖资助。 </w:t>
      </w:r>
    </w:p>
    <w:p>
      <w:pPr>
        <w:keepNext w:val="0"/>
        <w:keepLines w:val="0"/>
        <w:widowControl/>
        <w:suppressLineNumbers w:val="0"/>
        <w:spacing w:before="0" w:beforeAutospacing="1" w:after="0" w:afterAutospacing="1"/>
        <w:ind w:left="0" w:right="0" w:firstLine="562"/>
        <w:jc w:val="left"/>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十一、其他重要事项的情况</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（一）政府采购支出情况。2020年度</w:t>
      </w:r>
      <w:r>
        <w:rPr>
          <w:rFonts w:hint="eastAsia" w:ascii="宋体" w:hAnsi="宋体" w:eastAsia="宋体" w:cs="宋体"/>
          <w:kern w:val="0"/>
          <w:sz w:val="28"/>
          <w:szCs w:val="28"/>
          <w:lang w:val="en-US" w:eastAsia="zh-CN" w:bidi="ar"/>
        </w:rPr>
        <w:t>单位</w:t>
      </w:r>
      <w:r>
        <w:rPr>
          <w:rFonts w:hint="eastAsia" w:ascii="宋体" w:hAnsi="宋体" w:eastAsia="宋体" w:cs="宋体"/>
          <w:kern w:val="0"/>
          <w:sz w:val="28"/>
          <w:szCs w:val="28"/>
          <w:lang w:val="en-US" w:eastAsia="zh-CN" w:bidi="ar"/>
        </w:rPr>
        <w:t xml:space="preserve">政府采购支出总额5,389.35万元，其中：货物支出4,643.53万元、服务支出745.82万元。 </w:t>
      </w:r>
    </w:p>
    <w:p>
      <w:pPr>
        <w:keepNext w:val="0"/>
        <w:keepLines w:val="0"/>
        <w:widowControl/>
        <w:suppressLineNumbers w:val="0"/>
        <w:spacing w:before="0" w:beforeAutospacing="1" w:after="0" w:afterAutospacing="1"/>
        <w:ind w:left="0" w:right="0" w:firstLine="5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（二）国有资产占用情况。截至年末</w:t>
      </w:r>
      <w:r>
        <w:rPr>
          <w:rFonts w:hint="eastAsia" w:ascii="宋体" w:hAnsi="宋体" w:eastAsia="宋体" w:cs="宋体"/>
          <w:kern w:val="0"/>
          <w:sz w:val="28"/>
          <w:szCs w:val="28"/>
          <w:lang w:val="en-US" w:eastAsia="zh-CN" w:bidi="ar"/>
        </w:rPr>
        <w:t>单位</w:t>
      </w:r>
      <w:r>
        <w:rPr>
          <w:rFonts w:hint="eastAsia" w:ascii="宋体" w:hAnsi="宋体" w:eastAsia="宋体" w:cs="宋体"/>
          <w:kern w:val="0"/>
          <w:sz w:val="28"/>
          <w:szCs w:val="28"/>
          <w:lang w:val="en-US" w:eastAsia="zh-CN" w:bidi="ar"/>
        </w:rPr>
        <w:t xml:space="preserve">共有车辆8辆，其中：公务用车8辆。单价50万元以上通用设备37台（套）；单价100万元以上专用设备17台（套）。 </w:t>
      </w:r>
    </w:p>
    <w:p>
      <w:pPr>
        <w:keepNext w:val="0"/>
        <w:keepLines w:val="0"/>
        <w:widowControl/>
        <w:suppressLineNumbers w:val="0"/>
        <w:spacing w:before="0" w:beforeAutospacing="1" w:after="0" w:afterAutospacing="1"/>
        <w:ind w:left="0" w:right="0" w:firstLine="548"/>
        <w:jc w:val="left"/>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第四部分：名词解释</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一、财政拨款收入：指市本级财政当年拨付的资金。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二、事业收入：指事业单位开展专业活动用辅助活动所取得的收入。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三、经营收入：指事业单位在专业业务活动及辅助活动之外开展非独立核算经营活动取得的收入。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四、其他收入：指除上述“财政拨款收入”、“事业收入”、“经营收入”等以外的收入。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五、使用非财政拨款结余：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六、年初结转和结余：指以前年度尚未完成、结转到本年按规定继续使用的资金。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七、结余分配：指事业单位按规定提取的职工福利基金、事业基金和缴纳的所得税，以及建设单位按规定应交回的基本建设竣工项目结余资金。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八、年末结转和结余：指本年度或以前年度预算安排、因客观条件发生变化无法按原计划实施，需延迟到以后年度按有关规定继续使用的资金。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九、基本支出：指为保障机构正常运转、完成日常工作任务而发生的人员支出和公用支出。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十、项目支出：指在基本支出之外为完成特定行政任务和事业发展目标所发生的支出。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十一、经营支出：指事业单位在专业业务活动及其辅助活动之外开展非独立核算经营活动发生的支出。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十二、“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十三、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 </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MingLiU">
    <w:altName w:val="QIJIFALLBACK"/>
    <w:panose1 w:val="02020509000000000000"/>
    <w:charset w:val="88"/>
    <w:family w:val="auto"/>
    <w:pitch w:val="default"/>
    <w:sig w:usb0="00000000" w:usb1="00000000" w:usb2="00000016" w:usb3="00000000" w:csb0="00100001" w:csb1="00000000"/>
  </w:font>
  <w:font w:name="QIJIFALLBACK">
    <w:panose1 w:val="02000509000000000000"/>
    <w:charset w:val="88"/>
    <w:family w:val="auto"/>
    <w:pitch w:val="default"/>
    <w:sig w:usb0="00000000" w:usb1="08000000" w:usb2="00000000" w:usb3="00000000" w:csb0="001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7A203B2A"/>
    <w:rsid w:val="0B220922"/>
    <w:rsid w:val="0CC003F3"/>
    <w:rsid w:val="0DC857B1"/>
    <w:rsid w:val="12E666D9"/>
    <w:rsid w:val="1D774AFE"/>
    <w:rsid w:val="26413EFB"/>
    <w:rsid w:val="41AC2508"/>
    <w:rsid w:val="459C2AA4"/>
    <w:rsid w:val="473A2575"/>
    <w:rsid w:val="4C0118B3"/>
    <w:rsid w:val="5A2450EA"/>
    <w:rsid w:val="687C3701"/>
    <w:rsid w:val="708E10B8"/>
    <w:rsid w:val="753C7334"/>
    <w:rsid w:val="7A203B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000000"/>
      <w:u w:val="none"/>
    </w:rPr>
  </w:style>
  <w:style w:type="character" w:styleId="6">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5500</Words>
  <Characters>7437</Characters>
  <Lines>0</Lines>
  <Paragraphs>0</Paragraphs>
  <TotalTime>23</TotalTime>
  <ScaleCrop>false</ScaleCrop>
  <LinksUpToDate>false</LinksUpToDate>
  <CharactersWithSpaces>9011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2022-09-08T09:47:00Z</dcterms:created>
  <dc:creator>东</dc:creator>
  <cp:lastModifiedBy>哒哒陳</cp:lastModifiedBy>
  <dcterms:modified xsi:type="dcterms:W3CDTF">2022-10-12T07:09:26Z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D6C151A8603448FAAB4EBE0ABD02EE44</vt:lpwstr>
  </property>
</Properties>
</file>