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default" w:ascii="黑体" w:hAnsi="黑体" w:eastAsia="黑体"/>
          <w:bCs/>
          <w:color w:val="000000"/>
          <w:sz w:val="52"/>
          <w:szCs w:val="52"/>
          <w:lang w:val="en-US" w:eastAsia="zh-CN"/>
        </w:rPr>
      </w:pPr>
      <w:r>
        <w:rPr>
          <w:rFonts w:hint="eastAsia" w:ascii="黑体" w:hAnsi="黑体" w:eastAsia="黑体"/>
          <w:bCs/>
          <w:color w:val="000000"/>
          <w:sz w:val="52"/>
          <w:szCs w:val="52"/>
          <w:lang w:val="en-US" w:eastAsia="zh-CN"/>
        </w:rPr>
        <w:t>柳州市学生资助管理中心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val="en-US"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2020年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hAnsi="仿宋_GB2312" w:eastAsia="仿宋_GB2312" w:cs="仿宋_GB2312"/>
          <w:kern w:val="0"/>
          <w:sz w:val="32"/>
          <w:szCs w:val="32"/>
        </w:rPr>
        <w:t>2020年度收入支出决算总体情况。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二、2020年度收入决算情况。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三、2020年度支出决算情况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四、2020年度财政拨款收入支出决算情况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五、2020年度一般公共预算财政拨款支出决算情况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六、2020年度一般公共预算财政拨款基本支出决算情况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七、2020年度一般公共预算财政拨款“三公”经费支出决算情况</w:t>
      </w:r>
    </w:p>
    <w:p>
      <w:pPr>
        <w:autoSpaceDE w:val="0"/>
        <w:autoSpaceDN w:val="0"/>
        <w:adjustRightInd w:val="0"/>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八、2020</w:t>
      </w:r>
      <w:r>
        <w:rPr>
          <w:rFonts w:hint="eastAsia" w:ascii="仿宋_GB2312" w:hAnsi="仿宋_GB2312" w:eastAsia="仿宋_GB2312" w:cs="仿宋_GB2312"/>
          <w:bCs/>
          <w:kern w:val="0"/>
          <w:sz w:val="32"/>
          <w:szCs w:val="32"/>
        </w:rPr>
        <w:t>年度政府性基金预算财政拨款收入支出决算情况</w:t>
      </w:r>
    </w:p>
    <w:p>
      <w:pPr>
        <w:ind w:left="645"/>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w:t>
      </w:r>
      <w:r>
        <w:rPr>
          <w:rFonts w:hint="eastAsia" w:ascii="仿宋_GB2312" w:hAnsi="仿宋_GB2312" w:eastAsia="仿宋_GB2312" w:cs="仿宋_GB2312"/>
          <w:kern w:val="0"/>
          <w:sz w:val="32"/>
          <w:szCs w:val="32"/>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十、</w:t>
      </w:r>
      <w:r>
        <w:rPr>
          <w:rFonts w:hint="eastAsia" w:ascii="仿宋_GB2312" w:hAnsi="仿宋_GB2312" w:eastAsia="仿宋_GB2312" w:cs="仿宋_GB2312"/>
          <w:kern w:val="0"/>
          <w:sz w:val="32"/>
          <w:szCs w:val="32"/>
        </w:rPr>
        <w:t>2020</w:t>
      </w:r>
      <w:r>
        <w:rPr>
          <w:rFonts w:hint="eastAsia" w:ascii="仿宋_GB2312" w:hAnsi="仿宋_GB2312" w:eastAsia="仿宋_GB2312" w:cs="仿宋_GB2312"/>
          <w:bCs/>
          <w:kern w:val="0"/>
          <w:sz w:val="32"/>
          <w:szCs w:val="32"/>
        </w:rPr>
        <w:t>年度预算绩效情</w:t>
      </w:r>
      <w:r>
        <w:rPr>
          <w:rFonts w:hint="eastAsia" w:ascii="仿宋_GB2312" w:eastAsia="仿宋_GB2312" w:cs="仿宋_GB2312"/>
          <w:bCs/>
          <w:kern w:val="0"/>
          <w:sz w:val="32"/>
          <w:szCs w:val="32"/>
        </w:rPr>
        <w:t>况说明</w:t>
      </w:r>
    </w:p>
    <w:p>
      <w:pPr>
        <w:autoSpaceDE w:val="0"/>
        <w:autoSpaceDN w:val="0"/>
        <w:adjustRightInd w:val="0"/>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十一、</w:t>
      </w:r>
      <w:r>
        <w:rPr>
          <w:rFonts w:hint="eastAsia" w:ascii="仿宋_GB2312" w:eastAsia="仿宋_GB2312" w:cs="仿宋_GB2312"/>
          <w:bCs/>
          <w:kern w:val="0"/>
          <w:sz w:val="32"/>
          <w:szCs w:val="32"/>
          <w:lang w:eastAsia="zh-CN"/>
        </w:rPr>
        <w:t>其他重要事项的情况说明</w:t>
      </w:r>
    </w:p>
    <w:p>
      <w:pPr>
        <w:ind w:firstLine="645"/>
        <w:rPr>
          <w:rFonts w:hint="eastAsia" w:ascii="仿宋_GB2312" w:eastAsia="仿宋_GB2312"/>
          <w:b/>
          <w:sz w:val="32"/>
          <w:szCs w:val="32"/>
        </w:rPr>
      </w:pPr>
      <w:r>
        <w:rPr>
          <w:rFonts w:hint="eastAsia" w:ascii="仿宋_GB2312" w:eastAsia="仿宋_GB2312"/>
          <w:b/>
          <w:sz w:val="32"/>
          <w:szCs w:val="32"/>
        </w:rPr>
        <w:t>第四部分：名词解释</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ind w:firstLine="645"/>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hAnsi="Times New Roman" w:eastAsia="仿宋_GB2312"/>
          <w:color w:val="000000"/>
          <w:sz w:val="32"/>
          <w:szCs w:val="32"/>
        </w:rPr>
        <w:t>（一）贯彻落实国家和自治区、市有关学生资助政策，积极推动各级各类学校学生的资助工作，</w:t>
      </w:r>
      <w:r>
        <w:rPr>
          <w:rFonts w:hint="eastAsia" w:ascii="仿宋_GB2312" w:eastAsia="仿宋_GB2312"/>
          <w:sz w:val="32"/>
          <w:szCs w:val="32"/>
        </w:rPr>
        <w:t>对市本级学生资助政策的制定提出建议。</w:t>
      </w:r>
    </w:p>
    <w:p>
      <w:pPr>
        <w:spacing w:line="560" w:lineRule="exact"/>
        <w:ind w:firstLine="627" w:firstLineChars="196"/>
        <w:rPr>
          <w:rFonts w:ascii="仿宋_GB2312" w:hAnsi="Times New Roman" w:eastAsia="仿宋_GB2312"/>
          <w:color w:val="000000"/>
          <w:sz w:val="32"/>
          <w:szCs w:val="32"/>
        </w:rPr>
      </w:pPr>
      <w:r>
        <w:rPr>
          <w:rFonts w:hint="eastAsia" w:ascii="仿宋_GB2312" w:hAnsi="Times New Roman" w:eastAsia="仿宋_GB2312"/>
          <w:color w:val="000000"/>
          <w:sz w:val="32"/>
          <w:szCs w:val="32"/>
        </w:rPr>
        <w:t>（二）宣传相关学生资助政策，协调落实学前教育、义务教育、普通高中教育、中等职业教育资助政策。</w:t>
      </w:r>
    </w:p>
    <w:p>
      <w:pPr>
        <w:spacing w:line="560" w:lineRule="exact"/>
        <w:ind w:firstLine="627" w:firstLineChars="196"/>
        <w:rPr>
          <w:rFonts w:ascii="仿宋_GB2312" w:eastAsia="仿宋_GB2312"/>
          <w:sz w:val="32"/>
          <w:szCs w:val="32"/>
        </w:rPr>
      </w:pPr>
      <w:r>
        <w:rPr>
          <w:rFonts w:hint="eastAsia" w:ascii="仿宋_GB2312" w:hAnsi="Times New Roman" w:eastAsia="仿宋_GB2312"/>
          <w:color w:val="000000"/>
          <w:sz w:val="32"/>
          <w:szCs w:val="32"/>
        </w:rPr>
        <w:t>（三）负责组织市教育局局属学校开展各项学生资助工作，负责指导督促各县区教育行政部门开展学前教育、义务教育、普通高中教育、中等职业教育等学段的学生资助工作、生源地信用助学贷款工作、高校毕业生学费补偿和国家助学贷款补偿工作，</w:t>
      </w:r>
      <w:r>
        <w:rPr>
          <w:rFonts w:hint="eastAsia" w:ascii="仿宋_GB2312" w:eastAsia="仿宋_GB2312"/>
          <w:sz w:val="32"/>
          <w:szCs w:val="32"/>
        </w:rPr>
        <w:t>负责汇总全市各学生资助项目数据上报自治区教育厅。</w:t>
      </w:r>
    </w:p>
    <w:p>
      <w:pPr>
        <w:spacing w:line="560" w:lineRule="exact"/>
        <w:ind w:firstLine="627" w:firstLineChars="196"/>
        <w:rPr>
          <w:rFonts w:ascii="仿宋_GB2312" w:hAnsi="Times New Roman" w:eastAsia="仿宋_GB2312"/>
          <w:color w:val="000000"/>
          <w:sz w:val="32"/>
          <w:szCs w:val="32"/>
        </w:rPr>
      </w:pPr>
      <w:r>
        <w:rPr>
          <w:rFonts w:hint="eastAsia" w:ascii="仿宋_GB2312" w:hAnsi="Times New Roman" w:eastAsia="仿宋_GB2312"/>
          <w:color w:val="000000"/>
          <w:sz w:val="32"/>
          <w:szCs w:val="32"/>
        </w:rPr>
        <w:t>（</w:t>
      </w:r>
      <w:r>
        <w:rPr>
          <w:rFonts w:hint="eastAsia" w:ascii="仿宋_GB2312" w:hAnsi="宋体" w:eastAsia="仿宋_GB2312"/>
          <w:color w:val="000000"/>
          <w:sz w:val="32"/>
          <w:szCs w:val="32"/>
        </w:rPr>
        <w:t>四</w:t>
      </w:r>
      <w:r>
        <w:rPr>
          <w:rFonts w:hint="eastAsia" w:ascii="仿宋_GB2312" w:hAnsi="Times New Roman" w:eastAsia="仿宋_GB2312"/>
          <w:color w:val="000000"/>
          <w:sz w:val="32"/>
          <w:szCs w:val="32"/>
        </w:rPr>
        <w:t>）负责指导督促各县区教育行政部门实施农村义务教育学生营养改善计划工作。</w:t>
      </w:r>
    </w:p>
    <w:p>
      <w:pPr>
        <w:spacing w:line="560" w:lineRule="exact"/>
        <w:ind w:firstLine="627" w:firstLineChars="196"/>
        <w:rPr>
          <w:rFonts w:ascii="仿宋_GB2312" w:hAnsi="Times New Roman" w:eastAsia="仿宋_GB2312"/>
          <w:color w:val="000000"/>
          <w:sz w:val="32"/>
          <w:szCs w:val="32"/>
        </w:rPr>
      </w:pPr>
      <w:r>
        <w:rPr>
          <w:rFonts w:hint="eastAsia" w:ascii="仿宋_GB2312" w:hAnsi="Times New Roman" w:eastAsia="仿宋_GB2312"/>
          <w:color w:val="000000"/>
          <w:sz w:val="32"/>
          <w:szCs w:val="32"/>
        </w:rPr>
        <w:t>（五）负责</w:t>
      </w:r>
      <w:r>
        <w:rPr>
          <w:rFonts w:hint="eastAsia" w:ascii="仿宋_GB2312" w:hAnsi="Times New Roman" w:eastAsia="仿宋_GB2312"/>
          <w:color w:val="000000"/>
          <w:sz w:val="32"/>
          <w:szCs w:val="32"/>
          <w:lang w:eastAsia="zh-CN"/>
        </w:rPr>
        <w:t>指导</w:t>
      </w:r>
      <w:r>
        <w:rPr>
          <w:rFonts w:hint="eastAsia" w:ascii="仿宋_GB2312" w:hAnsi="Times New Roman" w:eastAsia="仿宋_GB2312"/>
          <w:color w:val="000000"/>
          <w:sz w:val="32"/>
          <w:szCs w:val="32"/>
        </w:rPr>
        <w:t>局属学校食堂食品安全监督管理工作，指导督促各县区教育行政部门开展学校食堂食品安全监督管理与营养健康工作。</w:t>
      </w:r>
    </w:p>
    <w:p>
      <w:pPr>
        <w:ind w:firstLine="646"/>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（六）完成主管部门交办的其他任务。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pPr>
        <w:ind w:firstLine="645"/>
        <w:rPr>
          <w:rFonts w:ascii="仿宋_GB2312" w:eastAsia="仿宋_GB2312"/>
          <w:sz w:val="32"/>
          <w:szCs w:val="32"/>
        </w:rPr>
      </w:pPr>
      <w:r>
        <w:rPr>
          <w:rFonts w:hint="eastAsia" w:ascii="仿宋_GB2312" w:eastAsia="仿宋_GB2312"/>
          <w:sz w:val="32"/>
          <w:szCs w:val="32"/>
          <w:lang w:val="en-US" w:eastAsia="zh-CN"/>
        </w:rPr>
        <w:t>柳州市学生资助管理中心为柳州市教育局的下属二层机构，根据市委编办机构编制文件要求，柳州市学生资助管理中心内设机构数为0个。</w:t>
      </w:r>
    </w:p>
    <w:p>
      <w:pPr>
        <w:jc w:val="center"/>
      </w:pPr>
    </w:p>
    <w:p>
      <w:pPr>
        <w:jc w:val="center"/>
      </w:pPr>
    </w:p>
    <w:p>
      <w:pPr>
        <w:jc w:val="cente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2020年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tbl>
      <w:tblPr>
        <w:tblStyle w:val="5"/>
        <w:tblW w:w="9732" w:type="dxa"/>
        <w:jc w:val="center"/>
        <w:tblLayout w:type="fixed"/>
        <w:tblCellMar>
          <w:top w:w="0" w:type="dxa"/>
          <w:left w:w="108" w:type="dxa"/>
          <w:bottom w:w="0" w:type="dxa"/>
          <w:right w:w="108" w:type="dxa"/>
        </w:tblCellMar>
      </w:tblPr>
      <w:tblGrid>
        <w:gridCol w:w="9732"/>
      </w:tblGrid>
      <w:tr>
        <w:tblPrEx>
          <w:tblCellMar>
            <w:top w:w="0" w:type="dxa"/>
            <w:left w:w="108" w:type="dxa"/>
            <w:bottom w:w="0" w:type="dxa"/>
            <w:right w:w="108" w:type="dxa"/>
          </w:tblCellMar>
        </w:tblPrEx>
        <w:trPr>
          <w:trHeight w:val="570" w:hRule="atLeast"/>
          <w:jc w:val="center"/>
        </w:trPr>
        <w:tc>
          <w:tcPr>
            <w:tcW w:w="9732" w:type="dxa"/>
            <w:tcBorders>
              <w:top w:val="nil"/>
              <w:left w:val="nil"/>
              <w:bottom w:val="nil"/>
              <w:right w:val="nil"/>
            </w:tcBorders>
            <w:vAlign w:val="bottom"/>
          </w:tcPr>
          <w:p>
            <w:pPr>
              <w:widowControl/>
              <w:jc w:val="center"/>
              <w:rPr>
                <w:rFonts w:ascii="宋体" w:hAnsi="宋体" w:cs="宋体"/>
                <w:kern w:val="0"/>
                <w:sz w:val="22"/>
                <w:szCs w:val="22"/>
              </w:rPr>
            </w:pPr>
            <w:r>
              <w:rPr>
                <w:rFonts w:hint="eastAsia" w:ascii="方正小标宋简体" w:hAnsi="宋体" w:eastAsia="方正小标宋简体" w:cs="宋体"/>
                <w:kern w:val="0"/>
                <w:sz w:val="36"/>
                <w:szCs w:val="36"/>
              </w:rPr>
              <w:t>表一：收入支出决算总表</w:t>
            </w:r>
          </w:p>
        </w:tc>
      </w:tr>
      <w:tr>
        <w:tblPrEx>
          <w:tblCellMar>
            <w:top w:w="0" w:type="dxa"/>
            <w:left w:w="108" w:type="dxa"/>
            <w:bottom w:w="0" w:type="dxa"/>
            <w:right w:w="108" w:type="dxa"/>
          </w:tblCellMar>
        </w:tblPrEx>
        <w:trPr>
          <w:trHeight w:val="570" w:hRule="atLeast"/>
          <w:jc w:val="center"/>
        </w:trPr>
        <w:tc>
          <w:tcPr>
            <w:tcW w:w="9732" w:type="dxa"/>
            <w:tcBorders>
              <w:top w:val="nil"/>
              <w:left w:val="nil"/>
              <w:bottom w:val="nil"/>
              <w:right w:val="nil"/>
            </w:tcBorders>
            <w:vAlign w:val="bottom"/>
          </w:tcPr>
          <w:tbl>
            <w:tblPr>
              <w:tblStyle w:val="5"/>
              <w:tblW w:w="9665" w:type="dxa"/>
              <w:tblInd w:w="-17" w:type="dxa"/>
              <w:shd w:val="clear" w:color="auto" w:fill="auto"/>
              <w:tblLayout w:type="fixed"/>
              <w:tblCellMar>
                <w:top w:w="0" w:type="dxa"/>
                <w:left w:w="0" w:type="dxa"/>
                <w:bottom w:w="0" w:type="dxa"/>
                <w:right w:w="0" w:type="dxa"/>
              </w:tblCellMar>
            </w:tblPr>
            <w:tblGrid>
              <w:gridCol w:w="3544"/>
              <w:gridCol w:w="464"/>
              <w:gridCol w:w="904"/>
              <w:gridCol w:w="3156"/>
              <w:gridCol w:w="168"/>
              <w:gridCol w:w="464"/>
              <w:gridCol w:w="904"/>
              <w:gridCol w:w="61"/>
            </w:tblGrid>
            <w:tr>
              <w:tblPrEx>
                <w:shd w:val="clear" w:color="auto" w:fill="auto"/>
                <w:tblCellMar>
                  <w:top w:w="0" w:type="dxa"/>
                  <w:left w:w="0" w:type="dxa"/>
                  <w:bottom w:w="0" w:type="dxa"/>
                  <w:right w:w="0" w:type="dxa"/>
                </w:tblCellMar>
              </w:tblPrEx>
              <w:trPr>
                <w:trHeight w:val="264" w:hRule="atLeast"/>
              </w:trPr>
              <w:tc>
                <w:tcPr>
                  <w:tcW w:w="354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单位</w:t>
                  </w:r>
                  <w:r>
                    <w:rPr>
                      <w:rFonts w:hint="eastAsia" w:ascii="宋体" w:hAnsi="宋体" w:eastAsia="宋体" w:cs="宋体"/>
                      <w:i w:val="0"/>
                      <w:color w:val="auto"/>
                      <w:kern w:val="0"/>
                      <w:sz w:val="20"/>
                      <w:szCs w:val="20"/>
                      <w:u w:val="none"/>
                      <w:lang w:val="en-US" w:eastAsia="zh-CN" w:bidi="ar"/>
                    </w:rPr>
                    <w:t>：柳州市学生资助管理中心</w:t>
                  </w:r>
                </w:p>
              </w:tc>
              <w:tc>
                <w:tcPr>
                  <w:tcW w:w="464" w:type="dxa"/>
                  <w:tcBorders>
                    <w:top w:val="nil"/>
                    <w:left w:val="nil"/>
                    <w:bottom w:val="nil"/>
                    <w:right w:val="nil"/>
                  </w:tcBorders>
                  <w:shd w:val="clear" w:color="auto" w:fill="auto"/>
                  <w:noWrap/>
                  <w:tcMar>
                    <w:top w:w="12" w:type="dxa"/>
                    <w:left w:w="12" w:type="dxa"/>
                    <w:right w:w="12" w:type="dxa"/>
                  </w:tcMar>
                  <w:vAlign w:val="bottom"/>
                </w:tcPr>
                <w:p>
                  <w:pPr>
                    <w:rPr>
                      <w:rFonts w:hint="eastAsia" w:ascii="Arial" w:hAnsi="Arial" w:cs="Arial"/>
                      <w:i w:val="0"/>
                      <w:color w:val="auto"/>
                      <w:sz w:val="20"/>
                      <w:szCs w:val="20"/>
                      <w:u w:val="none"/>
                    </w:rPr>
                  </w:pPr>
                </w:p>
              </w:tc>
              <w:tc>
                <w:tcPr>
                  <w:tcW w:w="90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u w:val="none"/>
                    </w:rPr>
                  </w:pPr>
                </w:p>
              </w:tc>
              <w:tc>
                <w:tcPr>
                  <w:tcW w:w="315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u w:val="none"/>
                    </w:rPr>
                  </w:pPr>
                </w:p>
              </w:tc>
              <w:tc>
                <w:tcPr>
                  <w:tcW w:w="1597" w:type="dxa"/>
                  <w:gridSpan w:val="4"/>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61" w:type="dxa"/>
                <w:trHeight w:val="308" w:hRule="atLeast"/>
              </w:trPr>
              <w:tc>
                <w:tcPr>
                  <w:tcW w:w="49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692" w:type="dxa"/>
                  <w:gridSpan w:val="4"/>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4,616.65</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4,570.16</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0.03</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11.75</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3.31</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8.46</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4,616.67</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4,593.69</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0.03</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47.82</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70.78</w:t>
                  </w: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gridAfter w:val="1"/>
                <w:wAfter w:w="61" w:type="dxa"/>
                <w:trHeight w:val="308" w:hRule="atLeast"/>
              </w:trPr>
              <w:tc>
                <w:tcPr>
                  <w:tcW w:w="354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64" w:type="dxa"/>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4,664.49</w:t>
                  </w:r>
                </w:p>
              </w:tc>
              <w:tc>
                <w:tcPr>
                  <w:tcW w:w="3324"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4,664.49</w:t>
                  </w:r>
                </w:p>
              </w:tc>
            </w:tr>
          </w:tbl>
          <w:p>
            <w:pPr>
              <w:widowControl/>
              <w:jc w:val="center"/>
              <w:rPr>
                <w:rFonts w:hint="eastAsia" w:ascii="方正小标宋简体" w:hAnsi="宋体" w:eastAsia="方正小标宋简体" w:cs="宋体"/>
                <w:kern w:val="0"/>
                <w:sz w:val="36"/>
                <w:szCs w:val="36"/>
              </w:rPr>
            </w:pP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注：本表反映</w:t>
      </w:r>
      <w:r>
        <w:rPr>
          <w:rFonts w:hint="eastAsia"/>
          <w:lang w:val="en-US" w:eastAsia="zh-CN"/>
        </w:rPr>
        <w:t>单位</w:t>
      </w:r>
      <w:r>
        <w:rPr>
          <w:rFonts w:hint="eastAsia"/>
        </w:rPr>
        <w:t>本年度的总收支和年末结转结余情况。</w:t>
      </w:r>
    </w:p>
    <w:p>
      <w:pPr>
        <w:jc w:val="center"/>
      </w:pPr>
      <w:r>
        <w:rPr>
          <w:rFonts w:hint="eastAsia" w:ascii="方正小标宋简体" w:hAnsi="宋体" w:eastAsia="方正小标宋简体" w:cs="宋体"/>
          <w:kern w:val="0"/>
          <w:sz w:val="36"/>
          <w:szCs w:val="36"/>
        </w:rPr>
        <w:t>表二：收入决算表</w:t>
      </w:r>
    </w:p>
    <w:tbl>
      <w:tblPr>
        <w:tblStyle w:val="5"/>
        <w:tblW w:w="0" w:type="auto"/>
        <w:tblInd w:w="0" w:type="dxa"/>
        <w:shd w:val="clear" w:color="auto" w:fill="auto"/>
        <w:tblLayout w:type="autofit"/>
        <w:tblCellMar>
          <w:top w:w="0" w:type="dxa"/>
          <w:left w:w="0" w:type="dxa"/>
          <w:bottom w:w="0" w:type="dxa"/>
          <w:right w:w="0" w:type="dxa"/>
        </w:tblCellMar>
      </w:tblPr>
      <w:tblGrid>
        <w:gridCol w:w="1659"/>
        <w:gridCol w:w="3764"/>
        <w:gridCol w:w="1290"/>
        <w:gridCol w:w="1290"/>
        <w:gridCol w:w="1235"/>
        <w:gridCol w:w="850"/>
        <w:gridCol w:w="850"/>
        <w:gridCol w:w="1620"/>
        <w:gridCol w:w="1424"/>
      </w:tblGrid>
      <w:tr>
        <w:tblPrEx>
          <w:shd w:val="clear" w:color="auto" w:fill="auto"/>
          <w:tblCellMar>
            <w:top w:w="0" w:type="dxa"/>
            <w:left w:w="0" w:type="dxa"/>
            <w:bottom w:w="0" w:type="dxa"/>
            <w:right w:w="0" w:type="dxa"/>
          </w:tblCellMar>
        </w:tblPrEx>
        <w:trPr>
          <w:trHeight w:val="264" w:hRule="atLeast"/>
        </w:trPr>
        <w:tc>
          <w:tcPr>
            <w:tcW w:w="0" w:type="auto"/>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4,616.67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4,616.65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4,589.33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其他教育管理事务支出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439.68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439.68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1,018.72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1,018.72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2,474.42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2,474.42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2,394.42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2,394.42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本年度取得的各项收入情况。</w:t>
            </w:r>
          </w:p>
        </w:tc>
      </w:tr>
    </w:tbl>
    <w:p/>
    <w:p/>
    <w:p/>
    <w:p/>
    <w:p/>
    <w:p/>
    <w:p/>
    <w:p/>
    <w:p/>
    <w:p/>
    <w:p/>
    <w:p/>
    <w:p/>
    <w:p/>
    <w:p/>
    <w:p/>
    <w:p/>
    <w:p/>
    <w:p>
      <w:pPr>
        <w:jc w:val="center"/>
      </w:pPr>
      <w:r>
        <w:rPr>
          <w:rFonts w:hint="eastAsia" w:ascii="方正小标宋简体" w:hAnsi="宋体" w:eastAsia="方正小标宋简体" w:cs="宋体"/>
          <w:kern w:val="0"/>
          <w:sz w:val="36"/>
          <w:szCs w:val="36"/>
        </w:rPr>
        <w:t>表三：支出决算表</w:t>
      </w:r>
    </w:p>
    <w:tbl>
      <w:tblPr>
        <w:tblStyle w:val="5"/>
        <w:tblW w:w="0" w:type="auto"/>
        <w:tblInd w:w="0" w:type="dxa"/>
        <w:shd w:val="clear" w:color="auto" w:fill="auto"/>
        <w:tblLayout w:type="fixed"/>
        <w:tblCellMar>
          <w:top w:w="0" w:type="dxa"/>
          <w:left w:w="0" w:type="dxa"/>
          <w:bottom w:w="0" w:type="dxa"/>
          <w:right w:w="0" w:type="dxa"/>
        </w:tblCellMar>
      </w:tblPr>
      <w:tblGrid>
        <w:gridCol w:w="1334"/>
        <w:gridCol w:w="3840"/>
        <w:gridCol w:w="1718"/>
        <w:gridCol w:w="1534"/>
        <w:gridCol w:w="1668"/>
        <w:gridCol w:w="1404"/>
        <w:gridCol w:w="1284"/>
        <w:gridCol w:w="1188"/>
      </w:tblGrid>
      <w:tr>
        <w:tblPrEx>
          <w:shd w:val="clear" w:color="auto" w:fill="auto"/>
          <w:tblCellMar>
            <w:top w:w="0" w:type="dxa"/>
            <w:left w:w="0" w:type="dxa"/>
            <w:bottom w:w="0" w:type="dxa"/>
            <w:right w:w="0" w:type="dxa"/>
          </w:tblCellMar>
        </w:tblPrEx>
        <w:trPr>
          <w:trHeight w:val="264" w:hRule="atLeast"/>
        </w:trPr>
        <w:tc>
          <w:tcPr>
            <w:tcW w:w="5174" w:type="dxa"/>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171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53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66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0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2472" w:type="dxa"/>
            <w:gridSpan w:val="2"/>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1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1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34"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6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04"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84"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8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1334"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40"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1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3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40"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1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3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40"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1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174"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5174"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4,593.69</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90.90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4,502.78</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4,570.16</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67.38</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4,502.78</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2050199</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其他教育管理事务支出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2,031.28</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2,031.28</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403.51</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403.51</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2050205</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1,057.77</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1,057.77</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2,457.59</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2,457.59</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2,392.24</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2,392.24</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65.35</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65.35</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2050701</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77.94</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65.13</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77.94</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65.13</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5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970"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本年度各项支出情况。</w:t>
            </w:r>
          </w:p>
        </w:tc>
      </w:tr>
    </w:tbl>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ind w:firstLine="3600" w:firstLineChars="1000"/>
        <w:rPr>
          <w:rFonts w:hint="eastAsia" w:ascii="方正小标宋简体" w:hAnsi="宋体" w:eastAsia="方正小标宋简体" w:cs="宋体"/>
          <w:kern w:val="0"/>
          <w:sz w:val="36"/>
          <w:szCs w:val="36"/>
        </w:rPr>
      </w:pPr>
    </w:p>
    <w:p>
      <w:pP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tbl>
      <w:tblPr>
        <w:tblStyle w:val="5"/>
        <w:tblW w:w="13922" w:type="dxa"/>
        <w:tblInd w:w="0" w:type="dxa"/>
        <w:shd w:val="clear" w:color="auto" w:fill="auto"/>
        <w:tblLayout w:type="fixed"/>
        <w:tblCellMar>
          <w:top w:w="0" w:type="dxa"/>
          <w:left w:w="0" w:type="dxa"/>
          <w:bottom w:w="0" w:type="dxa"/>
          <w:right w:w="0" w:type="dxa"/>
        </w:tblCellMar>
      </w:tblPr>
      <w:tblGrid>
        <w:gridCol w:w="2894"/>
        <w:gridCol w:w="696"/>
        <w:gridCol w:w="1236"/>
        <w:gridCol w:w="2580"/>
        <w:gridCol w:w="684"/>
        <w:gridCol w:w="1476"/>
        <w:gridCol w:w="1476"/>
        <w:gridCol w:w="1416"/>
        <w:gridCol w:w="1464"/>
      </w:tblGrid>
      <w:tr>
        <w:tblPrEx>
          <w:shd w:val="clear" w:color="auto" w:fill="auto"/>
          <w:tblCellMar>
            <w:top w:w="0" w:type="dxa"/>
            <w:left w:w="0" w:type="dxa"/>
            <w:bottom w:w="0" w:type="dxa"/>
            <w:right w:w="0" w:type="dxa"/>
          </w:tblCellMar>
        </w:tblPrEx>
        <w:trPr>
          <w:trHeight w:val="264" w:hRule="atLeast"/>
        </w:trPr>
        <w:tc>
          <w:tcPr>
            <w:tcW w:w="289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696" w:type="dxa"/>
            <w:tcBorders>
              <w:top w:val="nil"/>
              <w:left w:val="nil"/>
              <w:bottom w:val="nil"/>
              <w:right w:val="nil"/>
            </w:tcBorders>
            <w:shd w:val="clear" w:color="auto" w:fill="auto"/>
            <w:noWrap/>
            <w:tcMar>
              <w:top w:w="12" w:type="dxa"/>
              <w:left w:w="12" w:type="dxa"/>
              <w:right w:w="12" w:type="dxa"/>
            </w:tcMar>
            <w:vAlign w:val="bottom"/>
          </w:tcPr>
          <w:p>
            <w:pPr>
              <w:rPr>
                <w:rFonts w:hint="eastAsia" w:ascii="Arial" w:hAnsi="Arial" w:cs="Arial"/>
                <w:i w:val="0"/>
                <w:color w:val="000000"/>
                <w:sz w:val="20"/>
                <w:szCs w:val="20"/>
                <w:u w:val="none"/>
              </w:rPr>
            </w:pPr>
          </w:p>
        </w:tc>
        <w:tc>
          <w:tcPr>
            <w:tcW w:w="123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258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68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7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7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6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48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096" w:type="dxa"/>
            <w:gridSpan w:val="6"/>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2894"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3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8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76"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41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46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trPr>
        <w:tc>
          <w:tcPr>
            <w:tcW w:w="289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58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76"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7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6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4,616.65</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4,569.84</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4,569.84</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4,616.65</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4,593.37</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4,593.37</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42.51</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42.51</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6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9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96" w:type="dxa"/>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3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4,659.15</w:t>
            </w:r>
          </w:p>
        </w:tc>
        <w:tc>
          <w:tcPr>
            <w:tcW w:w="25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4,659.15</w:t>
            </w:r>
          </w:p>
        </w:tc>
        <w:tc>
          <w:tcPr>
            <w:tcW w:w="14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4,659.15</w:t>
            </w:r>
          </w:p>
        </w:tc>
        <w:tc>
          <w:tcPr>
            <w:tcW w:w="14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2458"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本年度一般公共预算财政拨款、政府性基金预算财政拨款和国有资本经营预算财政拨款的总收支和年末结转结余情况。</w:t>
            </w:r>
          </w:p>
        </w:tc>
        <w:tc>
          <w:tcPr>
            <w:tcW w:w="1464"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bl>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tbl>
      <w:tblPr>
        <w:tblStyle w:val="5"/>
        <w:tblW w:w="13958" w:type="dxa"/>
        <w:tblInd w:w="0" w:type="dxa"/>
        <w:shd w:val="clear" w:color="auto" w:fill="auto"/>
        <w:tblLayout w:type="fixed"/>
        <w:tblCellMar>
          <w:top w:w="0" w:type="dxa"/>
          <w:left w:w="0" w:type="dxa"/>
          <w:bottom w:w="0" w:type="dxa"/>
          <w:right w:w="0" w:type="dxa"/>
        </w:tblCellMar>
      </w:tblPr>
      <w:tblGrid>
        <w:gridCol w:w="1850"/>
        <w:gridCol w:w="3294"/>
        <w:gridCol w:w="714"/>
        <w:gridCol w:w="1600"/>
        <w:gridCol w:w="1100"/>
        <w:gridCol w:w="1214"/>
        <w:gridCol w:w="1486"/>
        <w:gridCol w:w="2700"/>
      </w:tblGrid>
      <w:tr>
        <w:tblPrEx>
          <w:shd w:val="clear" w:color="auto" w:fill="auto"/>
          <w:tblCellMar>
            <w:top w:w="0" w:type="dxa"/>
            <w:left w:w="0" w:type="dxa"/>
            <w:bottom w:w="0" w:type="dxa"/>
            <w:right w:w="0" w:type="dxa"/>
          </w:tblCellMar>
        </w:tblPrEx>
        <w:trPr>
          <w:trHeight w:val="264" w:hRule="atLeast"/>
        </w:trPr>
        <w:tc>
          <w:tcPr>
            <w:tcW w:w="5144" w:type="dxa"/>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2314" w:type="dxa"/>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2314" w:type="dxa"/>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4186" w:type="dxa"/>
            <w:gridSpan w:val="2"/>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8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100"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1850"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008" w:type="dxa"/>
            <w:gridSpan w:val="2"/>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00" w:type="dxa"/>
            <w:gridSpan w:val="2"/>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700" w:type="dxa"/>
            <w:gridSpan w:val="2"/>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70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trPr>
        <w:tc>
          <w:tcPr>
            <w:tcW w:w="185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008" w:type="dxa"/>
            <w:gridSpan w:val="2"/>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gridSpan w:val="2"/>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gridSpan w:val="2"/>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5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008" w:type="dxa"/>
            <w:gridSpan w:val="2"/>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gridSpan w:val="2"/>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gridSpan w:val="2"/>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858"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5858"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4,593.37</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90.90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4,502.46</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4,569.84</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67.38</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4,502.46</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2050199</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其他教育管理事务支出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2,031.28</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2,031.28</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403.51</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403.51</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2050205</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1,057.77</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1,057.77</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2,457.59</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2,457.59</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2,392.24</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2,392.24</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65.35</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65.35</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2050701</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77.62</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65.13</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77.62</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65.13</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8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008"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958"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本年度一般公共预算财政拨款支出情况。</w:t>
            </w:r>
          </w:p>
        </w:tc>
      </w:tr>
    </w:tbl>
    <w:p/>
    <w:p/>
    <w:p/>
    <w:p/>
    <w:p/>
    <w:p/>
    <w:p/>
    <w:p/>
    <w:p/>
    <w:p/>
    <w:p/>
    <w:p/>
    <w:p/>
    <w:p/>
    <w:p/>
    <w:p/>
    <w:p/>
    <w:p/>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tbl>
      <w:tblPr>
        <w:tblStyle w:val="5"/>
        <w:tblW w:w="0" w:type="auto"/>
        <w:tblInd w:w="0" w:type="dxa"/>
        <w:shd w:val="clear" w:color="auto" w:fill="auto"/>
        <w:tblLayout w:type="fixed"/>
        <w:tblCellMar>
          <w:top w:w="0" w:type="dxa"/>
          <w:left w:w="0" w:type="dxa"/>
          <w:bottom w:w="0" w:type="dxa"/>
          <w:right w:w="0" w:type="dxa"/>
        </w:tblCellMar>
      </w:tblPr>
      <w:tblGrid>
        <w:gridCol w:w="1070"/>
        <w:gridCol w:w="2562"/>
        <w:gridCol w:w="1470"/>
        <w:gridCol w:w="1056"/>
        <w:gridCol w:w="1596"/>
        <w:gridCol w:w="1452"/>
        <w:gridCol w:w="1116"/>
        <w:gridCol w:w="2376"/>
        <w:gridCol w:w="1284"/>
      </w:tblGrid>
      <w:tr>
        <w:tblPrEx>
          <w:shd w:val="clear" w:color="auto" w:fill="auto"/>
          <w:tblCellMar>
            <w:top w:w="0" w:type="dxa"/>
            <w:left w:w="0" w:type="dxa"/>
            <w:bottom w:w="0" w:type="dxa"/>
            <w:right w:w="0" w:type="dxa"/>
          </w:tblCellMar>
        </w:tblPrEx>
        <w:trPr>
          <w:trHeight w:val="264" w:hRule="atLeast"/>
        </w:trPr>
        <w:tc>
          <w:tcPr>
            <w:tcW w:w="6158" w:type="dxa"/>
            <w:gridSpan w:val="4"/>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159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45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1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237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28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1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880" w:type="dxa"/>
            <w:gridSpan w:val="6"/>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1070"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562"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05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2"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1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7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8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107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562"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1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7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86.78</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18.92</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31.74</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7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5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0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5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4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w:t>
            </w:r>
          </w:p>
        </w:tc>
        <w:tc>
          <w:tcPr>
            <w:tcW w:w="11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3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32"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4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86.78</w:t>
            </w:r>
          </w:p>
        </w:tc>
        <w:tc>
          <w:tcPr>
            <w:tcW w:w="7596"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r>
      <w:tr>
        <w:tblPrEx>
          <w:tblCellMar>
            <w:top w:w="0" w:type="dxa"/>
            <w:left w:w="0" w:type="dxa"/>
            <w:bottom w:w="0" w:type="dxa"/>
            <w:right w:w="0" w:type="dxa"/>
          </w:tblCellMar>
        </w:tblPrEx>
        <w:trPr>
          <w:trHeight w:val="308" w:hRule="atLeast"/>
        </w:trPr>
        <w:tc>
          <w:tcPr>
            <w:tcW w:w="13982" w:type="dxa"/>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本年度一般公共预算财政拨款基本支出明细情况。</w:t>
            </w:r>
          </w:p>
        </w:tc>
      </w:tr>
    </w:tbl>
    <w:p>
      <w:pPr>
        <w:rPr>
          <w:rFonts w:hint="eastAsia" w:ascii="Times New Roman" w:hAnsi="Times New Roman" w:cs="Times New Roman"/>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both"/>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tbl>
      <w:tblPr>
        <w:tblStyle w:val="5"/>
        <w:tblW w:w="0" w:type="auto"/>
        <w:tblInd w:w="0" w:type="dxa"/>
        <w:shd w:val="clear" w:color="auto" w:fill="auto"/>
        <w:tblLayout w:type="fixed"/>
        <w:tblCellMar>
          <w:top w:w="0" w:type="dxa"/>
          <w:left w:w="0" w:type="dxa"/>
          <w:bottom w:w="0" w:type="dxa"/>
          <w:right w:w="0" w:type="dxa"/>
        </w:tblCellMar>
      </w:tblPr>
      <w:tblGrid>
        <w:gridCol w:w="1134"/>
        <w:gridCol w:w="1134"/>
        <w:gridCol w:w="1134"/>
        <w:gridCol w:w="1134"/>
        <w:gridCol w:w="1134"/>
        <w:gridCol w:w="1134"/>
        <w:gridCol w:w="1134"/>
        <w:gridCol w:w="1134"/>
        <w:gridCol w:w="1134"/>
        <w:gridCol w:w="1134"/>
        <w:gridCol w:w="1134"/>
        <w:gridCol w:w="1134"/>
      </w:tblGrid>
      <w:tr>
        <w:tblPrEx>
          <w:shd w:val="clear" w:color="auto" w:fill="auto"/>
          <w:tblCellMar>
            <w:top w:w="0" w:type="dxa"/>
            <w:left w:w="0" w:type="dxa"/>
            <w:bottom w:w="0" w:type="dxa"/>
            <w:right w:w="0" w:type="dxa"/>
          </w:tblCellMar>
        </w:tblPrEx>
        <w:trPr>
          <w:trHeight w:val="264" w:hRule="atLeast"/>
        </w:trPr>
        <w:tc>
          <w:tcPr>
            <w:tcW w:w="1134" w:type="dxa"/>
            <w:gridSpan w:val="7"/>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：柳州市学生资助管理中心</w:t>
            </w:r>
          </w:p>
        </w:tc>
        <w:tc>
          <w:tcPr>
            <w:tcW w:w="113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13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13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13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000000"/>
                <w:sz w:val="20"/>
                <w:szCs w:val="20"/>
                <w:u w:val="none"/>
              </w:rPr>
            </w:pPr>
          </w:p>
        </w:tc>
        <w:tc>
          <w:tcPr>
            <w:tcW w:w="113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11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134" w:type="dxa"/>
            <w:gridSpan w:val="6"/>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1134"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134" w:type="dxa"/>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3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3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134" w:type="dxa"/>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3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113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3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3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13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3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113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615" w:hRule="atLeast"/>
        </w:trPr>
        <w:tc>
          <w:tcPr>
            <w:tcW w:w="1134"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w:t>
      </w:r>
      <w:r>
        <w:rPr>
          <w:rFonts w:hint="eastAsia" w:ascii="宋体" w:hAnsi="宋体" w:cs="宋体"/>
          <w:i w:val="0"/>
          <w:color w:val="000000"/>
          <w:kern w:val="0"/>
          <w:sz w:val="20"/>
          <w:szCs w:val="20"/>
          <w:u w:val="none"/>
          <w:lang w:val="en-US" w:eastAsia="zh-CN" w:bidi="ar"/>
        </w:rPr>
        <w:t>单位</w:t>
      </w:r>
      <w:r>
        <w:rPr>
          <w:rFonts w:hint="eastAsia"/>
        </w:rPr>
        <w:t>本年度政府性基金预算财政拨款收入支出及结转和结余情况。</w:t>
      </w:r>
    </w:p>
    <w:p>
      <w:pPr>
        <w:spacing w:line="560" w:lineRule="exact"/>
        <w:ind w:firstLine="420"/>
        <w:rPr>
          <w:rFonts w:hint="eastAsia" w:eastAsia="宋体"/>
          <w:lang w:eastAsia="zh-CN"/>
        </w:rPr>
      </w:pPr>
      <w:r>
        <w:rPr>
          <w:rFonts w:hint="eastAsia"/>
          <w:highlight w:val="none"/>
          <w:lang w:val="en-US" w:eastAsia="zh-CN"/>
        </w:rPr>
        <w:t>柳州市学生资助管理中心</w:t>
      </w:r>
      <w:r>
        <w:rPr>
          <w:rFonts w:hint="eastAsia"/>
          <w:highlight w:val="none"/>
        </w:rPr>
        <w:t>没有</w:t>
      </w:r>
      <w:r>
        <w:rPr>
          <w:rFonts w:hint="eastAsia"/>
          <w:highlight w:val="none"/>
          <w:lang w:val="en-US" w:eastAsia="zh-CN"/>
        </w:rPr>
        <w:t>政府性基金预算</w:t>
      </w:r>
      <w:r>
        <w:rPr>
          <w:rFonts w:hint="eastAsia"/>
          <w:highlight w:val="none"/>
          <w:lang w:eastAsia="zh-CN"/>
        </w:rPr>
        <w:t>收入，也没有</w:t>
      </w:r>
      <w:r>
        <w:rPr>
          <w:rFonts w:hint="eastAsia"/>
          <w:highlight w:val="none"/>
          <w:lang w:val="en-US" w:eastAsia="zh-CN"/>
        </w:rPr>
        <w:t>政府性基金预算</w:t>
      </w:r>
      <w:r>
        <w:rPr>
          <w:rFonts w:hint="eastAsia"/>
          <w:highlight w:val="none"/>
        </w:rPr>
        <w:t>安排的支出，故本表无数据</w:t>
      </w:r>
      <w:r>
        <w:rPr>
          <w:rFonts w:hint="eastAsia"/>
          <w:highlight w:val="none"/>
          <w:lang w:eastAsia="zh-CN"/>
        </w:rPr>
        <w:t>。</w:t>
      </w:r>
    </w:p>
    <w:p>
      <w:pPr>
        <w:spacing w:line="560" w:lineRule="exact"/>
        <w:ind w:firstLine="420"/>
        <w:rPr>
          <w:rFonts w:hint="eastAsia"/>
        </w:rPr>
      </w:pP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4859" w:type="dxa"/>
            <w:gridSpan w:val="2"/>
            <w:shd w:val="clear" w:color="auto" w:fill="FFFFFF"/>
            <w:vAlign w:val="center"/>
          </w:tcPr>
          <w:p>
            <w:pPr>
              <w:jc w:val="left"/>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柳州市学生资助管理中心</w:t>
            </w: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8" w:hRule="atLeast"/>
        </w:trPr>
        <w:tc>
          <w:tcPr>
            <w:tcW w:w="13520" w:type="dxa"/>
            <w:gridSpan w:val="5"/>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w:t>
            </w: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4"/>
                <w:szCs w:val="24"/>
                <w:highlight w:val="none"/>
                <w:u w:val="none"/>
                <w:lang w:val="en-US" w:eastAsia="zh-CN" w:bidi="ar"/>
              </w:rPr>
              <w:t>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highlight w:val="none"/>
                <w:lang w:val="en-US" w:eastAsia="zh-CN"/>
              </w:rPr>
              <w:t>柳州市学生资助管理中心</w:t>
            </w:r>
            <w:r>
              <w:rPr>
                <w:rFonts w:hint="eastAsia"/>
                <w:highlight w:val="none"/>
              </w:rPr>
              <w:t>没有</w:t>
            </w:r>
            <w:r>
              <w:rPr>
                <w:rFonts w:hint="eastAsia"/>
                <w:highlight w:val="none"/>
                <w:lang w:val="en-US" w:eastAsia="zh-CN"/>
              </w:rPr>
              <w:t>国有资本经营预算</w:t>
            </w:r>
            <w:r>
              <w:rPr>
                <w:rFonts w:hint="eastAsia"/>
                <w:highlight w:val="none"/>
                <w:lang w:eastAsia="zh-CN"/>
              </w:rPr>
              <w:t>收入，也没有</w:t>
            </w:r>
            <w:r>
              <w:rPr>
                <w:rFonts w:hint="eastAsia"/>
                <w:highlight w:val="none"/>
                <w:lang w:val="en-US" w:eastAsia="zh-CN"/>
              </w:rPr>
              <w:t>国有资本经营预算</w:t>
            </w:r>
            <w:r>
              <w:rPr>
                <w:rFonts w:hint="eastAsia"/>
                <w:highlight w:val="none"/>
              </w:rPr>
              <w:t>安排的支出，故本表无数据</w:t>
            </w:r>
            <w:r>
              <w:rPr>
                <w:rFonts w:hint="eastAsia"/>
                <w:highlight w:val="none"/>
                <w:lang w:eastAsia="zh-CN"/>
              </w:rPr>
              <w:t>。</w:t>
            </w:r>
          </w:p>
        </w:tc>
      </w:tr>
    </w:tbl>
    <w:p>
      <w:pPr>
        <w:spacing w:line="560" w:lineRule="exact"/>
        <w:ind w:firstLine="420"/>
        <w:rPr>
          <w:rFonts w:hint="eastAsia"/>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柳州市学生资助管理中心</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w:t>
      </w:r>
    </w:p>
    <w:p>
      <w:pPr>
        <w:spacing w:line="580" w:lineRule="exact"/>
        <w:jc w:val="center"/>
        <w:rPr>
          <w:rFonts w:ascii="仿宋_GB2312" w:eastAsia="仿宋_GB2312"/>
          <w:b/>
          <w:sz w:val="32"/>
          <w:szCs w:val="32"/>
        </w:rPr>
      </w:pPr>
      <w:r>
        <w:rPr>
          <w:rFonts w:hint="eastAsia" w:ascii="仿宋_GB2312" w:eastAsia="仿宋_GB2312"/>
          <w:b/>
          <w:sz w:val="32"/>
          <w:szCs w:val="32"/>
        </w:rPr>
        <w:t>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一、2020年度收入支出决算总体情况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2020年度收入总计</w:t>
      </w:r>
      <w:r>
        <w:rPr>
          <w:rFonts w:hint="eastAsia" w:ascii="仿宋_GB2312" w:hAnsi="仿宋_GB2312" w:eastAsia="仿宋_GB2312" w:cs="仿宋_GB2312"/>
          <w:bCs/>
          <w:kern w:val="0"/>
          <w:sz w:val="32"/>
          <w:szCs w:val="32"/>
          <w:lang w:val="en-US" w:eastAsia="zh-CN"/>
        </w:rPr>
        <w:t>4664.49</w:t>
      </w:r>
      <w:r>
        <w:rPr>
          <w:rFonts w:hint="eastAsia" w:ascii="仿宋_GB2312" w:hAnsi="仿宋_GB2312" w:eastAsia="仿宋_GB2312" w:cs="仿宋_GB2312"/>
          <w:bCs/>
          <w:kern w:val="0"/>
          <w:sz w:val="32"/>
          <w:szCs w:val="32"/>
        </w:rPr>
        <w:t>万元，支出总计</w:t>
      </w:r>
      <w:r>
        <w:rPr>
          <w:rFonts w:hint="eastAsia" w:ascii="仿宋_GB2312" w:hAnsi="仿宋_GB2312" w:eastAsia="仿宋_GB2312" w:cs="仿宋_GB2312"/>
          <w:bCs/>
          <w:kern w:val="0"/>
          <w:sz w:val="32"/>
          <w:szCs w:val="32"/>
          <w:lang w:val="en-US" w:eastAsia="zh-CN"/>
        </w:rPr>
        <w:t>4664.49</w:t>
      </w:r>
      <w:r>
        <w:rPr>
          <w:rFonts w:hint="eastAsia" w:ascii="仿宋_GB2312" w:hAnsi="仿宋_GB2312" w:eastAsia="仿宋_GB2312" w:cs="仿宋_GB2312"/>
          <w:bCs/>
          <w:kern w:val="0"/>
          <w:sz w:val="32"/>
          <w:szCs w:val="32"/>
        </w:rPr>
        <w:t>万元，与2019年相比，收、支分别增加</w:t>
      </w:r>
      <w:r>
        <w:rPr>
          <w:rFonts w:hint="eastAsia" w:ascii="仿宋_GB2312" w:hAnsi="仿宋_GB2312" w:eastAsia="仿宋_GB2312" w:cs="仿宋_GB2312"/>
          <w:bCs/>
          <w:kern w:val="0"/>
          <w:sz w:val="32"/>
          <w:szCs w:val="32"/>
          <w:lang w:val="en-US" w:eastAsia="zh-CN"/>
        </w:rPr>
        <w:t>61.7万元</w:t>
      </w:r>
      <w:r>
        <w:rPr>
          <w:rFonts w:hint="eastAsia" w:ascii="仿宋_GB2312" w:hAnsi="仿宋_GB2312" w:eastAsia="仿宋_GB2312" w:cs="仿宋_GB2312"/>
          <w:bCs/>
          <w:kern w:val="0"/>
          <w:sz w:val="32"/>
          <w:szCs w:val="32"/>
        </w:rPr>
        <w:t>；分别增长</w:t>
      </w:r>
      <w:r>
        <w:rPr>
          <w:rFonts w:hint="eastAsia" w:ascii="仿宋_GB2312" w:hAnsi="仿宋_GB2312" w:eastAsia="仿宋_GB2312" w:cs="仿宋_GB2312"/>
          <w:bCs/>
          <w:kern w:val="0"/>
          <w:sz w:val="32"/>
          <w:szCs w:val="32"/>
          <w:lang w:val="en-US" w:eastAsia="zh-CN"/>
        </w:rPr>
        <w:t>1.34</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二、2020年度收入决算情况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本年收入</w:t>
      </w:r>
      <w:r>
        <w:rPr>
          <w:rFonts w:hint="eastAsia" w:ascii="仿宋_GB2312" w:hAnsi="仿宋_GB2312" w:eastAsia="仿宋_GB2312" w:cs="仿宋_GB2312"/>
          <w:bCs/>
          <w:kern w:val="0"/>
          <w:sz w:val="32"/>
          <w:szCs w:val="32"/>
          <w:lang w:val="en-US" w:eastAsia="zh-CN"/>
        </w:rPr>
        <w:t>合计4616.67万元，其中：</w:t>
      </w:r>
      <w:r>
        <w:rPr>
          <w:rFonts w:hint="eastAsia" w:ascii="仿宋_GB2312" w:hAnsi="仿宋_GB2312" w:eastAsia="仿宋_GB2312" w:cs="仿宋_GB2312"/>
          <w:bCs/>
          <w:kern w:val="0"/>
          <w:sz w:val="32"/>
          <w:szCs w:val="32"/>
        </w:rPr>
        <w:t>一般公共预算财政拨款收入</w:t>
      </w:r>
      <w:r>
        <w:rPr>
          <w:rFonts w:hint="eastAsia" w:ascii="仿宋_GB2312" w:hAnsi="仿宋_GB2312" w:eastAsia="仿宋_GB2312" w:cs="仿宋_GB2312"/>
          <w:bCs/>
          <w:kern w:val="0"/>
          <w:sz w:val="32"/>
          <w:szCs w:val="32"/>
          <w:lang w:val="en-US" w:eastAsia="zh-CN"/>
        </w:rPr>
        <w:t>4616.65</w:t>
      </w:r>
      <w:r>
        <w:rPr>
          <w:rFonts w:hint="eastAsia"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lang w:val="en-US" w:eastAsia="zh-CN"/>
        </w:rPr>
        <w:t>100%</w:t>
      </w:r>
      <w:r>
        <w:rPr>
          <w:rFonts w:hint="eastAsia" w:ascii="仿宋_GB2312" w:hAnsi="仿宋_GB2312" w:eastAsia="仿宋_GB2312" w:cs="仿宋_GB2312"/>
          <w:bCs/>
          <w:kern w:val="0"/>
          <w:sz w:val="32"/>
          <w:szCs w:val="32"/>
        </w:rPr>
        <w:t> ；其他收入</w:t>
      </w:r>
      <w:r>
        <w:rPr>
          <w:rFonts w:hint="eastAsia" w:ascii="仿宋_GB2312" w:hAnsi="仿宋_GB2312" w:eastAsia="仿宋_GB2312" w:cs="仿宋_GB2312"/>
          <w:bCs/>
          <w:kern w:val="0"/>
          <w:sz w:val="32"/>
          <w:szCs w:val="32"/>
          <w:lang w:val="en-US" w:eastAsia="zh-CN"/>
        </w:rPr>
        <w:t>0.03</w:t>
      </w:r>
      <w:r>
        <w:rPr>
          <w:rFonts w:hint="eastAsia"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lang w:val="en-US" w:eastAsia="zh-CN"/>
        </w:rPr>
        <w:t>0.00%</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三、2020年度支出决算情况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本年支出合计</w:t>
      </w:r>
      <w:r>
        <w:rPr>
          <w:rFonts w:hint="eastAsia" w:ascii="仿宋_GB2312" w:hAnsi="仿宋_GB2312" w:eastAsia="仿宋_GB2312" w:cs="仿宋_GB2312"/>
          <w:bCs/>
          <w:kern w:val="0"/>
          <w:sz w:val="32"/>
          <w:szCs w:val="32"/>
          <w:lang w:val="en-US" w:eastAsia="zh-CN"/>
        </w:rPr>
        <w:t>4593.69</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kern w:val="0"/>
          <w:sz w:val="32"/>
          <w:szCs w:val="32"/>
          <w:lang w:val="en-US" w:eastAsia="zh-CN"/>
        </w:rPr>
        <w:t>90.90</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1.98</w:t>
      </w:r>
      <w:r>
        <w:rPr>
          <w:rFonts w:hint="eastAsia" w:ascii="仿宋_GB2312" w:hAnsi="仿宋_GB2312" w:eastAsia="仿宋_GB2312" w:cs="仿宋_GB2312"/>
          <w:bCs/>
          <w:kern w:val="0"/>
          <w:sz w:val="32"/>
          <w:szCs w:val="32"/>
        </w:rPr>
        <w:t>%；项目支出</w:t>
      </w:r>
      <w:r>
        <w:rPr>
          <w:rFonts w:hint="eastAsia" w:ascii="仿宋_GB2312" w:hAnsi="仿宋_GB2312" w:eastAsia="仿宋_GB2312" w:cs="仿宋_GB2312"/>
          <w:bCs/>
          <w:kern w:val="0"/>
          <w:sz w:val="32"/>
          <w:szCs w:val="32"/>
          <w:lang w:val="en-US" w:eastAsia="zh-CN"/>
        </w:rPr>
        <w:t>4502.78</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98.02</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四、2020年度财政拨款收入支出决算情况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w:t>
      </w:r>
      <w:r>
        <w:rPr>
          <w:rFonts w:hint="eastAsia" w:ascii="仿宋_GB2312" w:hAnsi="仿宋_GB2312" w:eastAsia="仿宋_GB2312" w:cs="仿宋_GB2312"/>
          <w:bCs/>
          <w:kern w:val="0"/>
          <w:sz w:val="32"/>
          <w:szCs w:val="32"/>
          <w:lang w:val="en-US" w:eastAsia="zh-CN"/>
        </w:rPr>
        <w:t>单位</w:t>
      </w:r>
      <w:r>
        <w:rPr>
          <w:rFonts w:hint="eastAsia" w:ascii="仿宋_GB2312" w:hAnsi="仿宋_GB2312" w:eastAsia="仿宋_GB2312" w:cs="仿宋_GB2312"/>
          <w:bCs/>
          <w:kern w:val="0"/>
          <w:sz w:val="32"/>
          <w:szCs w:val="32"/>
        </w:rPr>
        <w:t>2020年度财政拨款收、支总决算4659.15万元、4659.15万元。与2019年相比，财政拨款收、支总计各增加</w:t>
      </w:r>
      <w:r>
        <w:rPr>
          <w:rFonts w:hint="eastAsia" w:ascii="仿宋_GB2312" w:hAnsi="仿宋_GB2312" w:eastAsia="仿宋_GB2312" w:cs="仿宋_GB2312"/>
          <w:bCs/>
          <w:kern w:val="0"/>
          <w:sz w:val="32"/>
          <w:szCs w:val="32"/>
          <w:lang w:val="en-US" w:eastAsia="zh-CN"/>
        </w:rPr>
        <w:t>94.22</w:t>
      </w:r>
      <w:r>
        <w:rPr>
          <w:rFonts w:hint="eastAsia" w:ascii="仿宋_GB2312" w:hAnsi="仿宋_GB2312" w:eastAsia="仿宋_GB2312" w:cs="仿宋_GB2312"/>
          <w:bCs/>
          <w:kern w:val="0"/>
          <w:sz w:val="32"/>
          <w:szCs w:val="32"/>
        </w:rPr>
        <w:t>万元，增长</w:t>
      </w:r>
      <w:r>
        <w:rPr>
          <w:rFonts w:hint="eastAsia" w:ascii="仿宋_GB2312" w:hAnsi="仿宋_GB2312" w:eastAsia="仿宋_GB2312" w:cs="仿宋_GB2312"/>
          <w:bCs/>
          <w:kern w:val="0"/>
          <w:sz w:val="32"/>
          <w:szCs w:val="32"/>
          <w:lang w:val="en-US" w:eastAsia="zh-CN"/>
        </w:rPr>
        <w:t>2.06</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单位</w:t>
      </w:r>
      <w:r>
        <w:rPr>
          <w:rFonts w:hint="eastAsia" w:ascii="仿宋_GB2312" w:hAnsi="仿宋_GB2312" w:eastAsia="仿宋_GB2312" w:cs="仿宋_GB2312"/>
          <w:bCs/>
          <w:kern w:val="0"/>
          <w:sz w:val="32"/>
          <w:szCs w:val="32"/>
        </w:rPr>
        <w:t>2020年度财政拨款支出4593.37万元，占本年支出合计的</w:t>
      </w:r>
      <w:r>
        <w:rPr>
          <w:rFonts w:hint="eastAsia" w:ascii="仿宋_GB2312" w:hAnsi="仿宋_GB2312" w:eastAsia="仿宋_GB2312" w:cs="仿宋_GB2312"/>
          <w:bCs/>
          <w:kern w:val="0"/>
          <w:sz w:val="32"/>
          <w:szCs w:val="32"/>
          <w:lang w:val="en-US" w:eastAsia="zh-CN"/>
        </w:rPr>
        <w:t>99.99</w:t>
      </w:r>
      <w:r>
        <w:rPr>
          <w:rFonts w:hint="eastAsia" w:ascii="仿宋_GB2312" w:hAnsi="仿宋_GB2312" w:eastAsia="仿宋_GB2312" w:cs="仿宋_GB2312"/>
          <w:bCs/>
          <w:kern w:val="0"/>
          <w:sz w:val="32"/>
          <w:szCs w:val="32"/>
        </w:rPr>
        <w:t>%。与2019年相比，财政拨款支出增</w:t>
      </w:r>
      <w:r>
        <w:rPr>
          <w:rFonts w:hint="eastAsia" w:ascii="仿宋_GB2312" w:hAnsi="仿宋_GB2312" w:eastAsia="仿宋_GB2312" w:cs="仿宋_GB2312"/>
          <w:bCs/>
          <w:kern w:val="0"/>
          <w:sz w:val="32"/>
          <w:szCs w:val="32"/>
          <w:lang w:val="en-US" w:eastAsia="zh-CN"/>
        </w:rPr>
        <w:t>82.71</w:t>
      </w:r>
      <w:r>
        <w:rPr>
          <w:rFonts w:hint="eastAsia" w:ascii="仿宋_GB2312" w:hAnsi="仿宋_GB2312" w:eastAsia="仿宋_GB2312" w:cs="仿宋_GB2312"/>
          <w:bCs/>
          <w:kern w:val="0"/>
          <w:sz w:val="32"/>
          <w:szCs w:val="32"/>
        </w:rPr>
        <w:t>万元，增加</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2020年度财政拨款支出4593.37万元，主要用于以下方面：教育（类）支出4569.84万元，占</w:t>
      </w:r>
      <w:r>
        <w:rPr>
          <w:rFonts w:hint="eastAsia" w:ascii="仿宋_GB2312" w:hAnsi="仿宋_GB2312" w:eastAsia="仿宋_GB2312" w:cs="仿宋_GB2312"/>
          <w:bCs/>
          <w:kern w:val="0"/>
          <w:sz w:val="32"/>
          <w:szCs w:val="32"/>
          <w:lang w:val="en-US" w:eastAsia="zh-CN"/>
        </w:rPr>
        <w:t>99.49</w:t>
      </w:r>
      <w:r>
        <w:rPr>
          <w:rFonts w:hint="eastAsia" w:ascii="仿宋_GB2312" w:hAnsi="仿宋_GB2312" w:eastAsia="仿宋_GB2312" w:cs="仿宋_GB2312"/>
          <w:bCs/>
          <w:kern w:val="0"/>
          <w:sz w:val="32"/>
          <w:szCs w:val="32"/>
        </w:rPr>
        <w:t>%；社会保障和就业（类）支出11.75万元，占</w:t>
      </w:r>
      <w:r>
        <w:rPr>
          <w:rFonts w:hint="eastAsia" w:ascii="仿宋_GB2312" w:hAnsi="仿宋_GB2312" w:eastAsia="仿宋_GB2312" w:cs="仿宋_GB2312"/>
          <w:bCs/>
          <w:kern w:val="0"/>
          <w:sz w:val="32"/>
          <w:szCs w:val="32"/>
          <w:lang w:val="en-US" w:eastAsia="zh-CN"/>
        </w:rPr>
        <w:t>0.26</w:t>
      </w:r>
      <w:r>
        <w:rPr>
          <w:rFonts w:hint="eastAsia" w:ascii="仿宋_GB2312" w:hAnsi="仿宋_GB2312" w:eastAsia="仿宋_GB2312" w:cs="仿宋_GB2312"/>
          <w:bCs/>
          <w:kern w:val="0"/>
          <w:sz w:val="32"/>
          <w:szCs w:val="32"/>
        </w:rPr>
        <w:t>%；卫生健康支出3.31万元，占</w:t>
      </w:r>
      <w:r>
        <w:rPr>
          <w:rFonts w:hint="eastAsia" w:ascii="仿宋_GB2312" w:hAnsi="仿宋_GB2312" w:eastAsia="仿宋_GB2312" w:cs="仿宋_GB2312"/>
          <w:bCs/>
          <w:kern w:val="0"/>
          <w:sz w:val="32"/>
          <w:szCs w:val="32"/>
          <w:lang w:val="en-US" w:eastAsia="zh-CN"/>
        </w:rPr>
        <w:t>0.07</w:t>
      </w:r>
      <w:r>
        <w:rPr>
          <w:rFonts w:hint="eastAsia" w:ascii="仿宋_GB2312" w:hAnsi="仿宋_GB2312" w:eastAsia="仿宋_GB2312" w:cs="仿宋_GB2312"/>
          <w:bCs/>
          <w:kern w:val="0"/>
          <w:sz w:val="32"/>
          <w:szCs w:val="32"/>
        </w:rPr>
        <w:t>%；住房保障（类）支出8.46万元，占</w:t>
      </w:r>
      <w:r>
        <w:rPr>
          <w:rFonts w:hint="eastAsia" w:ascii="仿宋_GB2312" w:hAnsi="仿宋_GB2312" w:eastAsia="仿宋_GB2312" w:cs="仿宋_GB2312"/>
          <w:bCs/>
          <w:kern w:val="0"/>
          <w:sz w:val="32"/>
          <w:szCs w:val="32"/>
          <w:lang w:val="en-US" w:eastAsia="zh-CN"/>
        </w:rPr>
        <w:t>0.18</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2020年度财政拨款支出年初预算为</w:t>
      </w:r>
      <w:r>
        <w:rPr>
          <w:rFonts w:hint="eastAsia" w:ascii="仿宋_GB2312" w:hAnsi="仿宋_GB2312" w:eastAsia="仿宋_GB2312" w:cs="仿宋_GB2312"/>
          <w:bCs/>
          <w:kern w:val="0"/>
          <w:sz w:val="32"/>
          <w:szCs w:val="32"/>
          <w:lang w:val="en-US" w:eastAsia="zh-CN"/>
        </w:rPr>
        <w:t>2403.38</w:t>
      </w:r>
      <w:r>
        <w:rPr>
          <w:rFonts w:hint="eastAsia" w:ascii="仿宋_GB2312" w:hAnsi="仿宋_GB2312" w:eastAsia="仿宋_GB2312" w:cs="仿宋_GB2312"/>
          <w:bCs/>
          <w:kern w:val="0"/>
          <w:sz w:val="32"/>
          <w:szCs w:val="32"/>
        </w:rPr>
        <w:t>万元，支出决算为4593.37万元，完成年初预算的</w:t>
      </w:r>
      <w:r>
        <w:rPr>
          <w:rFonts w:hint="eastAsia" w:ascii="仿宋_GB2312" w:hAnsi="仿宋_GB2312" w:eastAsia="仿宋_GB2312" w:cs="仿宋_GB2312"/>
          <w:bCs/>
          <w:kern w:val="0"/>
          <w:sz w:val="32"/>
          <w:szCs w:val="32"/>
          <w:lang w:val="en-US" w:eastAsia="zh-CN"/>
        </w:rPr>
        <w:t>191.12</w:t>
      </w:r>
      <w:r>
        <w:rPr>
          <w:rFonts w:hint="eastAsia" w:ascii="仿宋_GB2312" w:hAnsi="仿宋_GB2312" w:eastAsia="仿宋_GB2312" w:cs="仿宋_GB2312"/>
          <w:bCs/>
          <w:kern w:val="0"/>
          <w:sz w:val="32"/>
          <w:szCs w:val="32"/>
        </w:rPr>
        <w:t>%。决算数大于预算数的主要原因：一是年中追加安排财政拨款支出预算，涉及项目</w:t>
      </w:r>
      <w:r>
        <w:rPr>
          <w:rFonts w:hint="eastAsia" w:ascii="仿宋_GB2312" w:hAnsi="仿宋_GB2312" w:eastAsia="仿宋_GB2312" w:cs="仿宋_GB2312"/>
          <w:bCs/>
          <w:kern w:val="0"/>
          <w:sz w:val="32"/>
          <w:szCs w:val="32"/>
          <w:lang w:val="en-US" w:eastAsia="zh-CN"/>
        </w:rPr>
        <w:t>为学生资助项目</w:t>
      </w:r>
      <w:r>
        <w:rPr>
          <w:rFonts w:hint="eastAsia" w:ascii="仿宋_GB2312" w:hAnsi="仿宋_GB2312" w:eastAsia="仿宋_GB2312" w:cs="仿宋_GB2312"/>
          <w:bCs/>
          <w:kern w:val="0"/>
          <w:sz w:val="32"/>
          <w:szCs w:val="32"/>
        </w:rPr>
        <w:t>；二是部分支出按规定，通过使用以前年度财政拨款结转资金解决。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1、205类01款99项其他教育管理事务支出</w:t>
      </w:r>
      <w:r>
        <w:rPr>
          <w:rFonts w:hint="eastAsia" w:ascii="仿宋_GB2312" w:hAnsi="仿宋_GB2312" w:eastAsia="仿宋_GB2312" w:cs="仿宋_GB2312"/>
          <w:bCs/>
          <w:kern w:val="0"/>
          <w:sz w:val="32"/>
          <w:szCs w:val="32"/>
          <w:lang w:val="en-US" w:eastAsia="zh-CN"/>
        </w:rPr>
        <w:t>2.25</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3.76</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1.51</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59.88</w:t>
      </w:r>
      <w:r>
        <w:rPr>
          <w:rFonts w:hint="eastAsia" w:ascii="仿宋_GB2312" w:hAnsi="仿宋_GB2312" w:eastAsia="仿宋_GB2312" w:cs="仿宋_GB2312"/>
          <w:bCs/>
          <w:kern w:val="0"/>
          <w:sz w:val="32"/>
          <w:szCs w:val="32"/>
        </w:rPr>
        <w:t>%。决算数与年度预算数存在差异原因如下：该项目为20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年柳州市教职工（市本级）参照公务员医疗补助经费，</w:t>
      </w:r>
      <w:r>
        <w:rPr>
          <w:rFonts w:hint="eastAsia" w:ascii="仿宋_GB2312" w:hAnsi="仿宋_GB2312" w:eastAsia="仿宋_GB2312" w:cs="仿宋_GB2312"/>
          <w:bCs/>
          <w:kern w:val="0"/>
          <w:sz w:val="32"/>
          <w:szCs w:val="32"/>
          <w:lang w:val="en-US" w:eastAsia="zh-CN"/>
        </w:rPr>
        <w:t>财政经费每年分两次下达，结余部分为下半年经费且总体</w:t>
      </w:r>
      <w:r>
        <w:rPr>
          <w:rFonts w:hint="eastAsia" w:ascii="仿宋_GB2312" w:hAnsi="仿宋_GB2312" w:eastAsia="仿宋_GB2312" w:cs="仿宋_GB2312"/>
          <w:bCs/>
          <w:kern w:val="0"/>
          <w:sz w:val="32"/>
          <w:szCs w:val="32"/>
        </w:rPr>
        <w:t>与市人社局批复数存在差额。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2、205类02款04项高中教育</w:t>
      </w:r>
      <w:r>
        <w:rPr>
          <w:rFonts w:hint="eastAsia" w:ascii="仿宋_GB2312" w:hAnsi="仿宋_GB2312" w:eastAsia="仿宋_GB2312" w:cs="仿宋_GB2312"/>
          <w:bCs/>
          <w:kern w:val="0"/>
          <w:sz w:val="32"/>
          <w:szCs w:val="32"/>
          <w:lang w:val="en-US" w:eastAsia="zh-CN"/>
        </w:rPr>
        <w:t>403.51</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439.68</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36.17</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91.77</w:t>
      </w:r>
      <w:r>
        <w:rPr>
          <w:rFonts w:hint="eastAsia" w:ascii="仿宋_GB2312" w:hAnsi="仿宋_GB2312" w:eastAsia="仿宋_GB2312" w:cs="仿宋_GB2312"/>
          <w:bCs/>
          <w:kern w:val="0"/>
          <w:sz w:val="32"/>
          <w:szCs w:val="32"/>
        </w:rPr>
        <w:t>%。决算数与年度预算数存在差异原因如下：该项目为延续性资助项目，资金结转下年度同一项目继续使用。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205类02款05项高等教育</w:t>
      </w:r>
      <w:r>
        <w:rPr>
          <w:rFonts w:hint="eastAsia" w:ascii="仿宋_GB2312" w:hAnsi="仿宋_GB2312" w:eastAsia="仿宋_GB2312" w:cs="仿宋_GB2312"/>
          <w:bCs/>
          <w:kern w:val="0"/>
          <w:sz w:val="32"/>
          <w:szCs w:val="32"/>
          <w:lang w:val="en-US" w:eastAsia="zh-CN"/>
        </w:rPr>
        <w:t>570</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570</w:t>
      </w:r>
      <w:r>
        <w:rPr>
          <w:rFonts w:hint="eastAsia" w:ascii="仿宋_GB2312" w:hAnsi="仿宋_GB2312" w:eastAsia="仿宋_GB2312" w:cs="仿宋_GB2312"/>
          <w:bCs/>
          <w:kern w:val="0"/>
          <w:sz w:val="32"/>
          <w:szCs w:val="32"/>
        </w:rPr>
        <w:t>万元相比，多（少）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100</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205类02款99项其他普通教育支出</w:t>
      </w:r>
      <w:r>
        <w:rPr>
          <w:rFonts w:hint="eastAsia" w:ascii="仿宋_GB2312" w:hAnsi="仿宋_GB2312" w:eastAsia="仿宋_GB2312" w:cs="仿宋_GB2312"/>
          <w:bCs/>
          <w:kern w:val="0"/>
          <w:sz w:val="32"/>
          <w:szCs w:val="32"/>
          <w:lang w:val="en-US" w:eastAsia="zh-CN"/>
        </w:rPr>
        <w:t>1057.77</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1058.49</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0.72</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99.93</w:t>
      </w:r>
      <w:r>
        <w:rPr>
          <w:rFonts w:hint="eastAsia" w:ascii="仿宋_GB2312" w:hAnsi="仿宋_GB2312" w:eastAsia="仿宋_GB2312" w:cs="仿宋_GB2312"/>
          <w:bCs/>
          <w:kern w:val="0"/>
          <w:sz w:val="32"/>
          <w:szCs w:val="32"/>
        </w:rPr>
        <w:t>%。决算数与年度预算数存在差异原因如下：该项目为延续性资助项目，资金结转下年度同一项目继续使用。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205类03款02项</w:t>
      </w:r>
      <w:r>
        <w:rPr>
          <w:rFonts w:hint="eastAsia" w:ascii="仿宋_GB2312" w:hAnsi="仿宋_GB2312" w:eastAsia="仿宋_GB2312" w:cs="仿宋_GB2312"/>
          <w:bCs/>
          <w:kern w:val="0"/>
          <w:sz w:val="32"/>
          <w:szCs w:val="32"/>
          <w:lang w:val="en-US" w:eastAsia="zh-CN"/>
        </w:rPr>
        <w:t>中等职业</w:t>
      </w:r>
      <w:r>
        <w:rPr>
          <w:rFonts w:hint="eastAsia" w:ascii="仿宋_GB2312" w:hAnsi="仿宋_GB2312" w:eastAsia="仿宋_GB2312" w:cs="仿宋_GB2312"/>
          <w:bCs/>
          <w:kern w:val="0"/>
          <w:sz w:val="32"/>
          <w:szCs w:val="32"/>
        </w:rPr>
        <w:t>教育</w:t>
      </w:r>
      <w:r>
        <w:rPr>
          <w:rFonts w:hint="eastAsia" w:ascii="仿宋_GB2312" w:hAnsi="仿宋_GB2312" w:eastAsia="仿宋_GB2312" w:cs="仿宋_GB2312"/>
          <w:bCs/>
          <w:kern w:val="0"/>
          <w:sz w:val="32"/>
          <w:szCs w:val="32"/>
          <w:lang w:val="en-US" w:eastAsia="zh-CN"/>
        </w:rPr>
        <w:t>2392.24</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2394.42</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2.18</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99.91</w:t>
      </w:r>
      <w:r>
        <w:rPr>
          <w:rFonts w:hint="eastAsia" w:ascii="仿宋_GB2312" w:hAnsi="仿宋_GB2312" w:eastAsia="仿宋_GB2312" w:cs="仿宋_GB2312"/>
          <w:bCs/>
          <w:kern w:val="0"/>
          <w:sz w:val="32"/>
          <w:szCs w:val="32"/>
        </w:rPr>
        <w:t>%。决算数与年度预算数存在差异原因如下：该项目为延续性资助项目，资金结转下年度同一项目继续使用。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rPr>
        <w:t>205类03款0</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bCs/>
          <w:kern w:val="0"/>
          <w:sz w:val="32"/>
          <w:szCs w:val="32"/>
          <w:lang w:val="en-US" w:eastAsia="zh-CN"/>
        </w:rPr>
        <w:t>高等职业教育65.35</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80</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14.65</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81.69</w:t>
      </w:r>
      <w:r>
        <w:rPr>
          <w:rFonts w:hint="eastAsia" w:ascii="仿宋_GB2312" w:hAnsi="仿宋_GB2312" w:eastAsia="仿宋_GB2312" w:cs="仿宋_GB2312"/>
          <w:bCs/>
          <w:kern w:val="0"/>
          <w:sz w:val="32"/>
          <w:szCs w:val="32"/>
        </w:rPr>
        <w:t>%。决算数与年度预算数存在差异原因如下：该项目为资助奖补经费，资金结转下年度同一项目继续使用。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205类</w:t>
      </w:r>
      <w:r>
        <w:rPr>
          <w:rFonts w:hint="eastAsia" w:ascii="仿宋_GB2312" w:hAnsi="仿宋_GB2312" w:eastAsia="仿宋_GB2312" w:cs="仿宋_GB2312"/>
          <w:bCs/>
          <w:kern w:val="0"/>
          <w:sz w:val="32"/>
          <w:szCs w:val="32"/>
          <w:lang w:val="en-US" w:eastAsia="zh-CN"/>
        </w:rPr>
        <w:t>07</w:t>
      </w:r>
      <w:r>
        <w:rPr>
          <w:rFonts w:hint="eastAsia" w:ascii="仿宋_GB2312" w:hAnsi="仿宋_GB2312" w:eastAsia="仿宋_GB2312" w:cs="仿宋_GB2312"/>
          <w:bCs/>
          <w:kern w:val="0"/>
          <w:sz w:val="32"/>
          <w:szCs w:val="32"/>
        </w:rPr>
        <w:t>款</w:t>
      </w:r>
      <w:r>
        <w:rPr>
          <w:rFonts w:hint="eastAsia" w:ascii="仿宋_GB2312" w:hAnsi="仿宋_GB2312" w:eastAsia="仿宋_GB2312" w:cs="仿宋_GB2312"/>
          <w:bCs/>
          <w:kern w:val="0"/>
          <w:sz w:val="32"/>
          <w:szCs w:val="32"/>
          <w:lang w:val="en-US" w:eastAsia="zh-CN"/>
        </w:rPr>
        <w:t>01</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bCs/>
          <w:kern w:val="0"/>
          <w:sz w:val="32"/>
          <w:szCs w:val="32"/>
          <w:lang w:val="en-US" w:eastAsia="zh-CN"/>
        </w:rPr>
        <w:t>特殊学校教育1.10</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5.66</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4.56</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19.43</w:t>
      </w:r>
      <w:r>
        <w:rPr>
          <w:rFonts w:hint="eastAsia" w:ascii="仿宋_GB2312" w:hAnsi="仿宋_GB2312" w:eastAsia="仿宋_GB2312" w:cs="仿宋_GB2312"/>
          <w:bCs/>
          <w:kern w:val="0"/>
          <w:sz w:val="32"/>
          <w:szCs w:val="32"/>
        </w:rPr>
        <w:t>%。决算数与年度预算数存在差异原因如下：该项目为延续性资助项目，资金结转下年度同一项目继续使用。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205类99款99项其他教育支出</w:t>
      </w:r>
      <w:r>
        <w:rPr>
          <w:rFonts w:hint="eastAsia" w:ascii="仿宋_GB2312" w:hAnsi="仿宋_GB2312" w:eastAsia="仿宋_GB2312" w:cs="仿宋_GB2312"/>
          <w:bCs/>
          <w:kern w:val="0"/>
          <w:sz w:val="32"/>
          <w:szCs w:val="32"/>
          <w:lang w:val="en-US" w:eastAsia="zh-CN"/>
        </w:rPr>
        <w:t>77.62</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79.35</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1.73</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97.82</w:t>
      </w:r>
      <w:r>
        <w:rPr>
          <w:rFonts w:hint="eastAsia" w:ascii="仿宋_GB2312" w:hAnsi="仿宋_GB2312" w:eastAsia="仿宋_GB2312" w:cs="仿宋_GB2312"/>
          <w:bCs/>
          <w:kern w:val="0"/>
          <w:sz w:val="32"/>
          <w:szCs w:val="32"/>
        </w:rPr>
        <w:t>%。决算数与年度预算数存在差异原因如下：该项目为工资及社会保险经费，社保经费与市人社局批复数存在差额。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9、</w:t>
      </w:r>
      <w:r>
        <w:rPr>
          <w:rFonts w:hint="eastAsia" w:ascii="仿宋_GB2312" w:hAnsi="仿宋_GB2312" w:eastAsia="仿宋_GB2312" w:cs="仿宋_GB2312"/>
          <w:bCs/>
          <w:kern w:val="0"/>
          <w:sz w:val="32"/>
          <w:szCs w:val="32"/>
        </w:rPr>
        <w:t>208类05款05项机关事业单位基本养老保险缴费支出</w:t>
      </w:r>
      <w:r>
        <w:rPr>
          <w:rFonts w:hint="eastAsia" w:ascii="仿宋_GB2312" w:hAnsi="仿宋_GB2312" w:eastAsia="仿宋_GB2312" w:cs="仿宋_GB2312"/>
          <w:bCs/>
          <w:kern w:val="0"/>
          <w:sz w:val="32"/>
          <w:szCs w:val="32"/>
          <w:lang w:val="en-US" w:eastAsia="zh-CN"/>
        </w:rPr>
        <w:t>7.83</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11.28</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3.45</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69.46</w:t>
      </w:r>
      <w:r>
        <w:rPr>
          <w:rFonts w:hint="eastAsia" w:ascii="仿宋_GB2312" w:hAnsi="仿宋_GB2312" w:eastAsia="仿宋_GB2312" w:cs="仿宋_GB2312"/>
          <w:bCs/>
          <w:kern w:val="0"/>
          <w:sz w:val="32"/>
          <w:szCs w:val="32"/>
        </w:rPr>
        <w:t>%。决算数与年度预算数存在差异原因如下：该项目为机关事业单位基本养老保险经费，与市人社局批复数存在差额。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10、</w:t>
      </w:r>
      <w:r>
        <w:rPr>
          <w:rFonts w:hint="eastAsia" w:ascii="仿宋_GB2312" w:hAnsi="仿宋_GB2312" w:eastAsia="仿宋_GB2312" w:cs="仿宋_GB2312"/>
          <w:bCs/>
          <w:kern w:val="0"/>
          <w:sz w:val="32"/>
          <w:szCs w:val="32"/>
        </w:rPr>
        <w:t>208类05款0</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rPr>
        <w:t>项机关事业单位职业年金缴费支出</w:t>
      </w:r>
      <w:r>
        <w:rPr>
          <w:rFonts w:hint="eastAsia" w:ascii="仿宋_GB2312" w:hAnsi="仿宋_GB2312" w:eastAsia="仿宋_GB2312" w:cs="仿宋_GB2312"/>
          <w:bCs/>
          <w:kern w:val="0"/>
          <w:sz w:val="32"/>
          <w:szCs w:val="32"/>
          <w:lang w:val="en-US" w:eastAsia="zh-CN"/>
        </w:rPr>
        <w:t>3.92</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4.29</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0.37</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91.32</w:t>
      </w:r>
      <w:r>
        <w:rPr>
          <w:rFonts w:hint="eastAsia" w:ascii="仿宋_GB2312" w:hAnsi="仿宋_GB2312" w:eastAsia="仿宋_GB2312" w:cs="仿宋_GB2312"/>
          <w:bCs/>
          <w:kern w:val="0"/>
          <w:sz w:val="32"/>
          <w:szCs w:val="32"/>
        </w:rPr>
        <w:t>%。决算数与年度预算数存在差异原因如下：该项目为机关事业单位职业年金经费，与市人社局批复数存在差额。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11、</w:t>
      </w:r>
      <w:r>
        <w:rPr>
          <w:rFonts w:hint="eastAsia" w:ascii="仿宋_GB2312" w:hAnsi="仿宋_GB2312" w:eastAsia="仿宋_GB2312" w:cs="仿宋_GB2312"/>
          <w:bCs/>
          <w:kern w:val="0"/>
          <w:sz w:val="32"/>
          <w:szCs w:val="32"/>
        </w:rPr>
        <w:t>210类11款02项事业单位医疗</w:t>
      </w:r>
      <w:r>
        <w:rPr>
          <w:rFonts w:hint="eastAsia" w:ascii="仿宋_GB2312" w:hAnsi="仿宋_GB2312" w:eastAsia="仿宋_GB2312" w:cs="仿宋_GB2312"/>
          <w:bCs/>
          <w:kern w:val="0"/>
          <w:sz w:val="32"/>
          <w:szCs w:val="32"/>
          <w:lang w:val="en-US" w:eastAsia="zh-CN"/>
        </w:rPr>
        <w:t>3.31</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5.31</w:t>
      </w:r>
      <w:r>
        <w:rPr>
          <w:rFonts w:hint="eastAsia" w:ascii="仿宋_GB2312" w:hAnsi="仿宋_GB2312" w:eastAsia="仿宋_GB2312" w:cs="仿宋_GB2312"/>
          <w:bCs/>
          <w:kern w:val="0"/>
          <w:sz w:val="32"/>
          <w:szCs w:val="32"/>
        </w:rPr>
        <w:t>万元相比，少</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62.37</w:t>
      </w:r>
      <w:r>
        <w:rPr>
          <w:rFonts w:hint="eastAsia" w:ascii="仿宋_GB2312" w:hAnsi="仿宋_GB2312" w:eastAsia="仿宋_GB2312" w:cs="仿宋_GB2312"/>
          <w:bCs/>
          <w:kern w:val="0"/>
          <w:sz w:val="32"/>
          <w:szCs w:val="32"/>
        </w:rPr>
        <w:t>%。决算数与年度预算数存在差异原因如下：该项目为城镇职工基本医疗保险经费，与市人社局批复数存在差额。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12、</w:t>
      </w:r>
      <w:r>
        <w:rPr>
          <w:rFonts w:hint="eastAsia" w:ascii="仿宋_GB2312" w:hAnsi="仿宋_GB2312" w:eastAsia="仿宋_GB2312" w:cs="仿宋_GB2312"/>
          <w:bCs/>
          <w:kern w:val="0"/>
          <w:sz w:val="32"/>
          <w:szCs w:val="32"/>
        </w:rPr>
        <w:t>221类02款01项住房公积金</w:t>
      </w:r>
      <w:r>
        <w:rPr>
          <w:rFonts w:hint="eastAsia" w:ascii="仿宋_GB2312" w:hAnsi="仿宋_GB2312" w:eastAsia="仿宋_GB2312" w:cs="仿宋_GB2312"/>
          <w:bCs/>
          <w:kern w:val="0"/>
          <w:sz w:val="32"/>
          <w:szCs w:val="32"/>
          <w:lang w:val="en-US" w:eastAsia="zh-CN"/>
        </w:rPr>
        <w:t>8.46</w:t>
      </w:r>
      <w:r>
        <w:rPr>
          <w:rFonts w:hint="eastAsia" w:ascii="仿宋_GB2312" w:hAnsi="仿宋_GB2312" w:eastAsia="仿宋_GB2312" w:cs="仿宋_GB2312"/>
          <w:bCs/>
          <w:kern w:val="0"/>
          <w:sz w:val="32"/>
          <w:szCs w:val="32"/>
        </w:rPr>
        <w:t>万元，与年度预算</w:t>
      </w:r>
      <w:r>
        <w:rPr>
          <w:rFonts w:hint="eastAsia" w:ascii="仿宋_GB2312" w:hAnsi="仿宋_GB2312" w:eastAsia="仿宋_GB2312" w:cs="仿宋_GB2312"/>
          <w:bCs/>
          <w:kern w:val="0"/>
          <w:sz w:val="32"/>
          <w:szCs w:val="32"/>
          <w:lang w:val="en-US" w:eastAsia="zh-CN"/>
        </w:rPr>
        <w:t>8.46</w:t>
      </w:r>
      <w:r>
        <w:rPr>
          <w:rFonts w:hint="eastAsia" w:ascii="仿宋_GB2312" w:hAnsi="仿宋_GB2312" w:eastAsia="仿宋_GB2312" w:cs="仿宋_GB2312"/>
          <w:bCs/>
          <w:kern w:val="0"/>
          <w:sz w:val="32"/>
          <w:szCs w:val="32"/>
        </w:rPr>
        <w:t>万元相比，多（少）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万元，为年度预算的</w:t>
      </w:r>
      <w:r>
        <w:rPr>
          <w:rFonts w:hint="eastAsia" w:ascii="仿宋_GB2312" w:hAnsi="仿宋_GB2312" w:eastAsia="仿宋_GB2312" w:cs="仿宋_GB2312"/>
          <w:bCs/>
          <w:kern w:val="0"/>
          <w:sz w:val="32"/>
          <w:szCs w:val="32"/>
          <w:lang w:val="en-US" w:eastAsia="zh-CN"/>
        </w:rPr>
        <w:t>100</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hAnsi="仿宋_GB2312" w:eastAsia="仿宋_GB2312" w:cs="仿宋_GB2312"/>
          <w:b/>
          <w:kern w:val="0"/>
          <w:sz w:val="32"/>
          <w:szCs w:val="32"/>
        </w:rPr>
        <w:t>六、2020年度一般公共预</w:t>
      </w:r>
      <w:r>
        <w:rPr>
          <w:rFonts w:hint="eastAsia" w:ascii="仿宋_GB2312" w:eastAsia="仿宋_GB2312" w:cs="仿宋_GB2312"/>
          <w:b/>
          <w:kern w:val="0"/>
          <w:sz w:val="32"/>
          <w:szCs w:val="32"/>
        </w:rPr>
        <w:t>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90.90</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86.78</w:t>
      </w:r>
      <w:r>
        <w:rPr>
          <w:rFonts w:hint="eastAsia" w:ascii="仿宋_GB2312" w:eastAsia="仿宋_GB2312" w:cs="仿宋_GB2312"/>
          <w:bCs/>
          <w:kern w:val="0"/>
          <w:sz w:val="32"/>
          <w:szCs w:val="32"/>
        </w:rPr>
        <w:t>万元，主要包括：基本工资、津贴补贴、伙食补助费、绩效工资、机关事业单位基本养老保险缴费、职业年金缴费、公务员医疗补助缴费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其他社会保障缴费、住房公积金</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4.12</w:t>
      </w:r>
      <w:r>
        <w:rPr>
          <w:rFonts w:hint="eastAsia" w:ascii="仿宋_GB2312" w:eastAsia="仿宋_GB2312" w:cs="仿宋_GB2312"/>
          <w:bCs/>
          <w:kern w:val="0"/>
          <w:sz w:val="32"/>
          <w:szCs w:val="32"/>
        </w:rPr>
        <w:t>万元，主要包括：办公费、印刷费、手续费、水费、电费、邮电费、物业管理费、差旅费、维修（护）费、会议费、培训费、公务接待费、工会经费、福利费、其他商品和服务支出</w:t>
      </w:r>
      <w:r>
        <w:rPr>
          <w:rFonts w:hint="eastAsia" w:ascii="仿宋_GB2312" w:eastAsia="仿宋_GB2312" w:cs="仿宋_GB2312"/>
          <w:bCs/>
          <w:kern w:val="0"/>
          <w:sz w:val="32"/>
          <w:szCs w:val="32"/>
          <w:lang w:val="en-US" w:eastAsia="zh-CN"/>
        </w:rPr>
        <w:t>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rPr>
      </w:pPr>
      <w:r>
        <w:rPr>
          <w:rFonts w:hint="eastAsia" w:ascii="仿宋_GB2312" w:eastAsia="仿宋_GB2312" w:cs="仿宋_GB2312"/>
          <w:b/>
          <w:kern w:val="0"/>
          <w:sz w:val="32"/>
          <w:szCs w:val="32"/>
        </w:rPr>
        <w:t>七、2020年度一般公共预算财政拨款“三公”经费支出决算情况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“三公”经费财政拨款支出决算总体情况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%。2020年度“三公”经费支出决算数小于预算数的主要原因</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2.全年未发生公务接待和</w:t>
      </w:r>
      <w:r>
        <w:rPr>
          <w:rFonts w:hint="eastAsia" w:ascii="仿宋_GB2312" w:eastAsia="仿宋_GB2312" w:cs="仿宋_GB2312"/>
          <w:bCs/>
          <w:kern w:val="0"/>
          <w:sz w:val="32"/>
          <w:szCs w:val="32"/>
        </w:rPr>
        <w:t>因公出国（境）</w:t>
      </w:r>
      <w:r>
        <w:rPr>
          <w:rFonts w:hint="eastAsia" w:ascii="仿宋_GB2312" w:eastAsia="仿宋_GB2312" w:cs="仿宋_GB2312"/>
          <w:bCs/>
          <w:kern w:val="0"/>
          <w:sz w:val="32"/>
          <w:szCs w:val="32"/>
          <w:lang w:val="en-US" w:eastAsia="zh-CN"/>
        </w:rPr>
        <w:t>相关工作；3.无公务用车。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%，其中：公务接待费支出决算减少</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color w:val="auto"/>
          <w:kern w:val="0"/>
          <w:sz w:val="32"/>
          <w:szCs w:val="32"/>
        </w:rPr>
        <w:t>公务接待费支出减少的主要原因是</w:t>
      </w:r>
      <w:r>
        <w:rPr>
          <w:rFonts w:hint="eastAsia" w:ascii="仿宋_GB2312" w:eastAsia="仿宋_GB2312" w:cs="仿宋_GB2312"/>
          <w:bCs/>
          <w:kern w:val="0"/>
          <w:sz w:val="32"/>
          <w:szCs w:val="32"/>
        </w:rPr>
        <w:t>认真贯彻落实中央</w:t>
      </w:r>
      <w:bookmarkStart w:id="0" w:name="_GoBack"/>
      <w:r>
        <w:rPr>
          <w:rFonts w:hint="eastAsia" w:ascii="仿宋_GB2312" w:eastAsia="仿宋_GB2312" w:cs="仿宋_GB2312"/>
          <w:bCs/>
          <w:kern w:val="0"/>
          <w:sz w:val="32"/>
          <w:szCs w:val="32"/>
        </w:rPr>
        <w:t>八项</w:t>
      </w:r>
      <w:bookmarkEnd w:id="0"/>
      <w:r>
        <w:rPr>
          <w:rFonts w:hint="eastAsia" w:ascii="仿宋_GB2312" w:eastAsia="仿宋_GB2312" w:cs="仿宋_GB2312"/>
          <w:bCs/>
          <w:kern w:val="0"/>
          <w:sz w:val="32"/>
          <w:szCs w:val="32"/>
        </w:rPr>
        <w:t>规定精神和厉行节约要求，公务接待费支出减少。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万元。全年安排机关和所属单位因公出国（境）团组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万元。其中：公务用车购置</w:t>
      </w:r>
      <w:r>
        <w:rPr>
          <w:rFonts w:hint="eastAsia" w:ascii="仿宋_GB2312" w:eastAsia="仿宋_GB2312" w:cs="仿宋_GB2312"/>
          <w:bCs/>
          <w:kern w:val="0"/>
          <w:sz w:val="32"/>
          <w:szCs w:val="32"/>
        </w:rPr>
        <w:t>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rPr>
      </w:pPr>
      <w:r>
        <w:rPr>
          <w:rFonts w:hint="eastAsia" w:ascii="仿宋_GB2312" w:eastAsia="仿宋_GB2312" w:cs="仿宋_GB2312"/>
          <w:b/>
          <w:kern w:val="0"/>
          <w:sz w:val="32"/>
          <w:szCs w:val="32"/>
        </w:rPr>
        <w:t>八、2020年度政府性基金预算财政拨款收入支出决算情况说明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kern w:val="0"/>
          <w:sz w:val="32"/>
          <w:szCs w:val="32"/>
          <w:lang w:val="en-US" w:eastAsia="zh-CN"/>
        </w:rPr>
      </w:pPr>
      <w:r>
        <w:rPr>
          <w:rFonts w:hint="eastAsia" w:ascii="仿宋_GB2312" w:eastAsia="仿宋_GB2312" w:cs="仿宋_GB2312"/>
          <w:b w:val="0"/>
          <w:bCs/>
          <w:kern w:val="0"/>
          <w:sz w:val="32"/>
          <w:szCs w:val="32"/>
          <w:lang w:val="en-US" w:eastAsia="zh-CN"/>
        </w:rPr>
        <w:t>柳州市学生资助管理中心2020年度没有政府性基金预算收入，也没有政府性基金预算安排的支出，故无数据情况说明。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en-US" w:eastAsia="zh-CN"/>
        </w:rPr>
        <w:t>九</w:t>
      </w:r>
      <w:r>
        <w:rPr>
          <w:rFonts w:hint="eastAsia" w:ascii="仿宋_GB2312" w:eastAsia="仿宋_GB2312" w:cs="仿宋_GB2312"/>
          <w:b/>
          <w:kern w:val="0"/>
          <w:sz w:val="32"/>
          <w:szCs w:val="32"/>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柳州市学生资助管理中心2020年度没有国有资本经营预算财政拨款收入，也没有国有资本经营预算财政拨款安排的支出，故无数据情况说明。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十、</w:t>
      </w:r>
      <w:r>
        <w:rPr>
          <w:rFonts w:hint="eastAsia" w:ascii="仿宋_GB2312" w:hAnsi="仿宋_GB2312" w:eastAsia="仿宋_GB2312" w:cs="仿宋_GB2312"/>
          <w:b/>
          <w:kern w:val="0"/>
          <w:sz w:val="32"/>
          <w:szCs w:val="32"/>
        </w:rPr>
        <w:t>2020年度预算绩效情况说明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绩效管理工作开展情况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根据财政预算管理要求，我</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bCs/>
          <w:kern w:val="0"/>
          <w:sz w:val="32"/>
          <w:szCs w:val="32"/>
        </w:rPr>
        <w:t>组织对2020年度一般公共预算项目支出全面开展绩效自评。其中，柳州市本级预算部门（单位）整体支出绩效自评</w:t>
      </w:r>
      <w:r>
        <w:rPr>
          <w:rFonts w:hint="eastAsia" w:ascii="仿宋_GB2312" w:eastAsia="仿宋_GB2312" w:cs="仿宋_GB2312"/>
          <w:bCs/>
          <w:kern w:val="0"/>
          <w:sz w:val="32"/>
          <w:szCs w:val="32"/>
          <w:lang w:val="en-US" w:eastAsia="zh-CN"/>
        </w:rPr>
        <w:t>项目1</w:t>
      </w:r>
      <w:r>
        <w:rPr>
          <w:rFonts w:hint="eastAsia" w:ascii="仿宋_GB2312" w:eastAsia="仿宋_GB2312" w:cs="仿宋_GB2312"/>
          <w:bCs/>
          <w:kern w:val="0"/>
          <w:sz w:val="32"/>
          <w:szCs w:val="32"/>
        </w:rPr>
        <w:t>个，柳州市本级预算项目支出绩效自评项目</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个，共涉及预算资金4593.37万元，自评覆盖率达到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bCs/>
          <w:kern w:val="0"/>
          <w:sz w:val="32"/>
          <w:szCs w:val="32"/>
        </w:rPr>
        <w:t>决算中项目绩效自评结果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根据</w:t>
      </w:r>
      <w:r>
        <w:rPr>
          <w:rFonts w:hint="eastAsia" w:ascii="仿宋_GB2312" w:eastAsia="仿宋_GB2312" w:cs="仿宋_GB2312"/>
          <w:kern w:val="0"/>
          <w:sz w:val="32"/>
          <w:szCs w:val="32"/>
        </w:rPr>
        <w:t>《关于开展2020年度市本级预算支出绩效评价自评工作的通知》（柳财绩〔2021〕1号）要求</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我</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高度重视，按照预算绩效目标编制管理工作要求，对照2020年初设定的绩效指标及指标值，认真开展2020年度预算支出绩效自评工作，确保绩效评价数据准确、分值设置合理、评价结果客观。我</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对照评分标准逐项评价，收集和分析绩效执行信息，对未完成绩效目标及指标的原因进行逐条分析，研究解决措施，将绩效自评结果作为改进预算管理的重要依据。我</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通过完整有效编制</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预算、不断加强预算执行力度和加强</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协作共同推进项目进度。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预算部门（单位）整体支出绩效自评</w:t>
      </w:r>
      <w:r>
        <w:rPr>
          <w:rFonts w:hint="eastAsia" w:ascii="仿宋_GB2312" w:eastAsia="仿宋_GB2312" w:cs="仿宋_GB2312"/>
          <w:bCs/>
          <w:kern w:val="0"/>
          <w:sz w:val="32"/>
          <w:szCs w:val="32"/>
          <w:lang w:val="en-US" w:eastAsia="zh-CN"/>
        </w:rPr>
        <w:t>项目</w:t>
      </w:r>
      <w:r>
        <w:rPr>
          <w:rFonts w:hint="eastAsia" w:ascii="仿宋_GB2312" w:eastAsia="仿宋_GB2312" w:cs="仿宋_GB2312"/>
          <w:bCs/>
          <w:kern w:val="0"/>
          <w:sz w:val="32"/>
          <w:szCs w:val="32"/>
        </w:rPr>
        <w:t>年度主要任务资金执行率为100%，得分按执行率×该项分值（100%×10）计算方法，得9.95分，各年度绩效指标均按目标完成，其中，产出指标50分、效益指标30分、满意度指标10分，总分99.95分，达成预期目标。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预算项目支出绩效自评贫困大学新生入学补助专项经费项目年度主要任务资金执行率为100%，得分按执行率×该项分值（100%×10）计算方法，得10分，各年度绩效指标均按目标完成，其中，产出指标50分、效益指标30分、满意度指标10分，总分100分，达成预期目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eastAsia="仿宋_GB2312" w:cs="仿宋_GB2312"/>
          <w:bCs/>
          <w:kern w:val="0"/>
          <w:sz w:val="32"/>
          <w:szCs w:val="32"/>
        </w:rPr>
        <w:t>预</w:t>
      </w:r>
      <w:r>
        <w:rPr>
          <w:rFonts w:hint="eastAsia" w:ascii="仿宋_GB2312" w:hAnsi="仿宋_GB2312" w:eastAsia="仿宋_GB2312" w:cs="仿宋_GB2312"/>
          <w:bCs/>
          <w:kern w:val="0"/>
          <w:sz w:val="32"/>
          <w:szCs w:val="32"/>
        </w:rPr>
        <w:t>算项目支出绩效自评</w:t>
      </w:r>
      <w:r>
        <w:rPr>
          <w:rFonts w:hint="eastAsia" w:ascii="仿宋_GB2312" w:hAnsi="仿宋_GB2312" w:eastAsia="仿宋_GB2312" w:cs="仿宋_GB2312"/>
          <w:sz w:val="32"/>
          <w:szCs w:val="32"/>
        </w:rPr>
        <w:t>中等职业教育免学费、助学金配套专项经费</w:t>
      </w:r>
      <w:r>
        <w:rPr>
          <w:rFonts w:hint="eastAsia" w:ascii="仿宋_GB2312" w:hAnsi="仿宋_GB2312" w:eastAsia="仿宋_GB2312" w:cs="仿宋_GB2312"/>
          <w:bCs/>
          <w:kern w:val="0"/>
          <w:sz w:val="32"/>
          <w:szCs w:val="32"/>
        </w:rPr>
        <w:t>项目</w:t>
      </w:r>
      <w:r>
        <w:rPr>
          <w:rFonts w:hint="eastAsia" w:ascii="仿宋_GB2312" w:hAnsi="仿宋_GB2312" w:eastAsia="仿宋_GB2312" w:cs="仿宋_GB2312"/>
          <w:sz w:val="32"/>
          <w:szCs w:val="32"/>
        </w:rPr>
        <w:t>年度主要任务资金执行率为100%，得分按执行率×该项分值（100%×10）计算方法，得10分，各年度绩效指标均按目标完成，其中，产出指标48分、效益指标30分、满意度指标10分，总分98分，达成预期目标。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val="en-US" w:eastAsia="zh-CN"/>
        </w:rPr>
        <w:t>十一、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（一）机关运行经费支出情况说明。本单位无机关运行经费支出。</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hAnsi="仿宋_GB2312" w:eastAsia="仿宋_GB2312" w:cs="仿宋_GB2312"/>
          <w:bCs/>
          <w:kern w:val="0"/>
          <w:sz w:val="32"/>
          <w:szCs w:val="32"/>
          <w:lang w:val="en-US"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22.73</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0.36</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22.37</w:t>
      </w:r>
      <w:r>
        <w:rPr>
          <w:rFonts w:hint="eastAsia" w:ascii="仿宋_GB2312" w:eastAsia="仿宋_GB2312" w:cs="仿宋_GB2312"/>
          <w:kern w:val="0"/>
          <w:sz w:val="32"/>
          <w:szCs w:val="32"/>
        </w:rPr>
        <w:t>万元。</w:t>
      </w:r>
    </w:p>
    <w:p>
      <w:pPr>
        <w:spacing w:line="580" w:lineRule="exact"/>
        <w:ind w:firstLine="645"/>
        <w:rPr>
          <w:rFonts w:hint="eastAsia" w:ascii="仿宋_GB2312" w:eastAsia="仿宋_GB2312"/>
          <w:b/>
          <w:sz w:val="32"/>
          <w:szCs w:val="32"/>
          <w:lang w:eastAsia="zh-CN"/>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spacing w:line="580" w:lineRule="exact"/>
        <w:ind w:firstLine="645"/>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center"/>
        <w:rPr>
          <w:rFonts w:hint="eastAsia" w:ascii="仿宋_GB2312" w:eastAsia="仿宋_GB2312"/>
          <w:b/>
          <w:sz w:val="32"/>
          <w:szCs w:val="32"/>
        </w:rPr>
      </w:pPr>
    </w:p>
    <w:p>
      <w:pPr>
        <w:spacing w:line="580" w:lineRule="exact"/>
        <w:jc w:val="both"/>
        <w:rPr>
          <w:rFonts w:hint="eastAsia" w:ascii="仿宋_GB2312" w:eastAsia="仿宋_GB2312"/>
          <w:b/>
          <w:sz w:val="32"/>
          <w:szCs w:val="32"/>
        </w:rPr>
      </w:pPr>
    </w:p>
    <w:p>
      <w:pPr>
        <w:spacing w:line="580" w:lineRule="exact"/>
        <w:jc w:val="center"/>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hint="eastAsia" w:ascii="仿宋_GB2312" w:eastAsia="仿宋_GB2312"/>
          <w:b w:val="0"/>
          <w:bCs/>
          <w:sz w:val="32"/>
          <w:szCs w:val="32"/>
          <w:lang w:val="en-US" w:eastAsia="zh-CN"/>
        </w:rPr>
        <w:t>学校学费收入等。</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hint="eastAsia" w:ascii="仿宋_GB2312" w:eastAsia="仿宋_GB2312"/>
          <w:b w:val="0"/>
          <w:bCs/>
          <w:sz w:val="32"/>
          <w:szCs w:val="32"/>
          <w:lang w:eastAsia="zh-CN"/>
        </w:rPr>
        <w:t>其他部门转入专项活动经费、银行存款利息收入等。</w:t>
      </w: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5"/>
        <w:textAlignment w:val="auto"/>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p>
    <w:sectPr>
      <w:pgSz w:w="11906" w:h="16838"/>
      <w:pgMar w:top="1701"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3694E42"/>
    <w:rsid w:val="091529B3"/>
    <w:rsid w:val="095177AD"/>
    <w:rsid w:val="0BCB54ED"/>
    <w:rsid w:val="0DA86951"/>
    <w:rsid w:val="0E074DDF"/>
    <w:rsid w:val="0F122E30"/>
    <w:rsid w:val="124204B5"/>
    <w:rsid w:val="12B0064F"/>
    <w:rsid w:val="132B59F3"/>
    <w:rsid w:val="13B628A5"/>
    <w:rsid w:val="148B6130"/>
    <w:rsid w:val="15C520BA"/>
    <w:rsid w:val="182962AB"/>
    <w:rsid w:val="18610CDC"/>
    <w:rsid w:val="18627337"/>
    <w:rsid w:val="19AC2601"/>
    <w:rsid w:val="19D073EB"/>
    <w:rsid w:val="1A2E0437"/>
    <w:rsid w:val="1C335DC7"/>
    <w:rsid w:val="1CC31F67"/>
    <w:rsid w:val="1D2A755F"/>
    <w:rsid w:val="20311DD2"/>
    <w:rsid w:val="20B100E1"/>
    <w:rsid w:val="21D13B53"/>
    <w:rsid w:val="22CD3A60"/>
    <w:rsid w:val="235F4381"/>
    <w:rsid w:val="2492198F"/>
    <w:rsid w:val="24D337DC"/>
    <w:rsid w:val="26460DBA"/>
    <w:rsid w:val="26711EEC"/>
    <w:rsid w:val="26E35EF4"/>
    <w:rsid w:val="278D617A"/>
    <w:rsid w:val="2878616D"/>
    <w:rsid w:val="2B6F74EB"/>
    <w:rsid w:val="2C4219FE"/>
    <w:rsid w:val="2D146B83"/>
    <w:rsid w:val="2DBD5491"/>
    <w:rsid w:val="2DF90CD7"/>
    <w:rsid w:val="2E14324D"/>
    <w:rsid w:val="34020F86"/>
    <w:rsid w:val="3728527B"/>
    <w:rsid w:val="376F1C28"/>
    <w:rsid w:val="39A63F06"/>
    <w:rsid w:val="3C87254E"/>
    <w:rsid w:val="3ED1439F"/>
    <w:rsid w:val="433929E4"/>
    <w:rsid w:val="44500BF5"/>
    <w:rsid w:val="449C0218"/>
    <w:rsid w:val="44DF6E9B"/>
    <w:rsid w:val="452C2890"/>
    <w:rsid w:val="48374EDC"/>
    <w:rsid w:val="48BA50E8"/>
    <w:rsid w:val="4C256E3D"/>
    <w:rsid w:val="4CB52F0F"/>
    <w:rsid w:val="4E667F62"/>
    <w:rsid w:val="4E907B00"/>
    <w:rsid w:val="4FBF5EBC"/>
    <w:rsid w:val="5112160E"/>
    <w:rsid w:val="527B53D8"/>
    <w:rsid w:val="52FF38CA"/>
    <w:rsid w:val="532F1F9A"/>
    <w:rsid w:val="53573BD1"/>
    <w:rsid w:val="55D11BC6"/>
    <w:rsid w:val="5794651F"/>
    <w:rsid w:val="590809EF"/>
    <w:rsid w:val="59157FBD"/>
    <w:rsid w:val="5A4C0DB6"/>
    <w:rsid w:val="5B112394"/>
    <w:rsid w:val="5CE26FB5"/>
    <w:rsid w:val="5DD02F78"/>
    <w:rsid w:val="5E995A3E"/>
    <w:rsid w:val="5FCF077B"/>
    <w:rsid w:val="5FE02B68"/>
    <w:rsid w:val="60E505E7"/>
    <w:rsid w:val="62163194"/>
    <w:rsid w:val="624D024D"/>
    <w:rsid w:val="640269BE"/>
    <w:rsid w:val="64B314D1"/>
    <w:rsid w:val="650E086A"/>
    <w:rsid w:val="681D13CB"/>
    <w:rsid w:val="6BAA0708"/>
    <w:rsid w:val="6BE565A0"/>
    <w:rsid w:val="6D897277"/>
    <w:rsid w:val="6E850948"/>
    <w:rsid w:val="704345FB"/>
    <w:rsid w:val="71394FA1"/>
    <w:rsid w:val="723436D8"/>
    <w:rsid w:val="73FB269B"/>
    <w:rsid w:val="741E4551"/>
    <w:rsid w:val="75DF727A"/>
    <w:rsid w:val="75EC138D"/>
    <w:rsid w:val="7697021D"/>
    <w:rsid w:val="78242629"/>
    <w:rsid w:val="7F1A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9206</Words>
  <Characters>12858</Characters>
  <Lines>60</Lines>
  <Paragraphs>17</Paragraphs>
  <TotalTime>9</TotalTime>
  <ScaleCrop>false</ScaleCrop>
  <LinksUpToDate>false</LinksUpToDate>
  <CharactersWithSpaces>13226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2022-09-10T13:21:05Z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457B040CD1654382ABBFAC156B53CC67</vt:lpwstr>
  </property>
</Properties>
</file>