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教学设备供应站</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val="en-US" w:eastAsia="zh-CN"/>
        </w:rPr>
        <w:t>单位</w:t>
      </w:r>
      <w:bookmarkStart w:id="0" w:name="_GoBack"/>
      <w:bookmarkEnd w:id="0"/>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eastAsia="仿宋_GB2312"/>
          <w:kern w:val="0"/>
          <w:sz w:val="32"/>
          <w:szCs w:val="32"/>
          <w:lang w:val="en-US" w:eastAsia="zh-CN"/>
        </w:rPr>
        <w:t xml:space="preserve"> </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hint="eastAsia"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概况</w:t>
      </w:r>
    </w:p>
    <w:p>
      <w:pPr>
        <w:ind w:firstLine="646"/>
        <w:jc w:val="center"/>
        <w:rPr>
          <w:rFonts w:hint="eastAsia" w:ascii="仿宋_GB2312" w:eastAsia="仿宋_GB2312"/>
          <w:b/>
          <w:sz w:val="32"/>
          <w:szCs w:val="32"/>
        </w:rPr>
      </w:pP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snapToGrid w:val="0"/>
        <w:spacing w:line="520" w:lineRule="exact"/>
        <w:ind w:firstLine="640" w:firstLineChars="200"/>
        <w:rPr>
          <w:rFonts w:hint="eastAsia" w:ascii="仿宋_GB2312" w:hAnsi="仿宋" w:eastAsia="仿宋_GB2312"/>
          <w:b w:val="0"/>
          <w:sz w:val="32"/>
          <w:szCs w:val="32"/>
        </w:rPr>
      </w:pPr>
      <w:r>
        <w:rPr>
          <w:rFonts w:hint="eastAsia" w:ascii="仿宋_GB2312" w:hAnsi="仿宋" w:eastAsia="仿宋_GB2312"/>
          <w:b w:val="0"/>
          <w:sz w:val="32"/>
          <w:szCs w:val="32"/>
          <w:lang w:eastAsia="zh-CN"/>
        </w:rPr>
        <w:t>柳州市教学设备供应站</w:t>
      </w:r>
      <w:r>
        <w:rPr>
          <w:rFonts w:hint="eastAsia" w:ascii="仿宋_GB2312" w:hAnsi="仿宋" w:eastAsia="仿宋_GB2312"/>
          <w:b w:val="0"/>
          <w:sz w:val="32"/>
          <w:szCs w:val="32"/>
        </w:rPr>
        <w:t>贯彻执行国家教育装备的方针、政策。制定全市中小学教育技术装备建设的发展规划和实施方案，面向全市中小学负责指导、检查和评估学校教学仪器的管理使用情况</w:t>
      </w:r>
      <w:r>
        <w:rPr>
          <w:rFonts w:hint="eastAsia" w:ascii="仿宋_GB2312" w:hAnsi="仿宋" w:eastAsia="仿宋_GB2312"/>
          <w:b w:val="0"/>
          <w:sz w:val="32"/>
          <w:szCs w:val="32"/>
          <w:lang w:eastAsia="zh-CN"/>
        </w:rPr>
        <w:t>；</w:t>
      </w:r>
      <w:r>
        <w:rPr>
          <w:rFonts w:hint="eastAsia" w:ascii="仿宋_GB2312" w:hAnsi="仿宋" w:eastAsia="仿宋_GB2312"/>
          <w:b w:val="0"/>
          <w:sz w:val="32"/>
          <w:szCs w:val="32"/>
        </w:rPr>
        <w:t>组织全市中小学实验教学活动、读书等实践活动，总结和推广实验教学和实践活动经验，开展实验教学研究和自制教具、玩具评选工作</w:t>
      </w:r>
      <w:r>
        <w:rPr>
          <w:rFonts w:hint="eastAsia" w:ascii="仿宋_GB2312" w:hAnsi="仿宋" w:eastAsia="仿宋_GB2312"/>
          <w:b w:val="0"/>
          <w:sz w:val="32"/>
          <w:szCs w:val="32"/>
          <w:lang w:eastAsia="zh-CN"/>
        </w:rPr>
        <w:t>；</w:t>
      </w:r>
      <w:r>
        <w:rPr>
          <w:rFonts w:hint="eastAsia" w:ascii="仿宋_GB2312" w:hAnsi="仿宋" w:eastAsia="仿宋_GB2312"/>
          <w:b w:val="0"/>
          <w:sz w:val="32"/>
          <w:szCs w:val="32"/>
        </w:rPr>
        <w:t>组织推送并承担各级各类中小学实验教师、实验管理、图书管理、心理咨询管理人员的业务培训任务</w:t>
      </w:r>
      <w:r>
        <w:rPr>
          <w:rFonts w:hint="eastAsia" w:ascii="仿宋_GB2312" w:hAnsi="仿宋" w:eastAsia="仿宋_GB2312"/>
          <w:b w:val="0"/>
          <w:sz w:val="32"/>
          <w:szCs w:val="32"/>
          <w:lang w:eastAsia="zh-CN"/>
        </w:rPr>
        <w:t>；</w:t>
      </w:r>
      <w:r>
        <w:rPr>
          <w:rFonts w:hint="eastAsia" w:ascii="仿宋_GB2312" w:hAnsi="仿宋" w:eastAsia="仿宋_GB2312"/>
          <w:b w:val="0"/>
          <w:sz w:val="32"/>
          <w:szCs w:val="32"/>
        </w:rPr>
        <w:t>负责编制和上报教学仪器供需计划、教学仪器设备、课桌椅、图书、体卫艺、心理咨询等物资的政府招标采购工作。</w:t>
      </w:r>
    </w:p>
    <w:p>
      <w:pPr>
        <w:snapToGrid w:val="0"/>
        <w:spacing w:line="520" w:lineRule="exact"/>
        <w:ind w:firstLine="640" w:firstLineChars="200"/>
        <w:rPr>
          <w:rFonts w:hint="eastAsia" w:ascii="仿宋_GB2312" w:hAnsi="仿宋" w:eastAsia="仿宋_GB2312"/>
          <w:b w:val="0"/>
          <w:sz w:val="32"/>
          <w:szCs w:val="32"/>
        </w:rPr>
      </w:pP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pPr>
      <w:r>
        <w:rPr>
          <w:rFonts w:hint="eastAsia" w:ascii="仿宋_GB2312" w:hAnsi="仿宋" w:eastAsia="仿宋_GB2312"/>
          <w:b w:val="0"/>
          <w:sz w:val="32"/>
          <w:szCs w:val="32"/>
          <w:lang w:eastAsia="zh-CN"/>
        </w:rPr>
        <w:t>柳州市教学设备供应站</w:t>
      </w:r>
      <w:r>
        <w:rPr>
          <w:rFonts w:hint="eastAsia" w:ascii="仿宋_GB2312" w:eastAsia="仿宋_GB2312"/>
          <w:sz w:val="32"/>
          <w:szCs w:val="32"/>
          <w:lang w:val="en-US" w:eastAsia="zh-CN"/>
        </w:rPr>
        <w:t>为柳州市教育局的下属二层机构,本单位</w:t>
      </w:r>
      <w:r>
        <w:rPr>
          <w:rFonts w:hint="eastAsia" w:ascii="仿宋_GB2312" w:hAnsi="仿宋" w:eastAsia="仿宋_GB2312"/>
          <w:b w:val="0"/>
          <w:sz w:val="32"/>
          <w:szCs w:val="32"/>
          <w:lang w:eastAsia="zh-CN"/>
        </w:rPr>
        <w:t>无内设机构和下属单位。</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tbl>
      <w:tblPr>
        <w:tblStyle w:val="5"/>
        <w:tblW w:w="8655" w:type="dxa"/>
        <w:jc w:val="center"/>
        <w:tblLayout w:type="fixed"/>
        <w:tblCellMar>
          <w:top w:w="0" w:type="dxa"/>
          <w:left w:w="108" w:type="dxa"/>
          <w:bottom w:w="0" w:type="dxa"/>
          <w:right w:w="108" w:type="dxa"/>
        </w:tblCellMar>
      </w:tblPr>
      <w:tblGrid>
        <w:gridCol w:w="2895"/>
        <w:gridCol w:w="1529"/>
        <w:gridCol w:w="2470"/>
        <w:gridCol w:w="1761"/>
      </w:tblGrid>
      <w:tr>
        <w:tblPrEx>
          <w:tblCellMar>
            <w:top w:w="0" w:type="dxa"/>
            <w:left w:w="108" w:type="dxa"/>
            <w:bottom w:w="0" w:type="dxa"/>
            <w:right w:w="108" w:type="dxa"/>
          </w:tblCellMar>
        </w:tblPrEx>
        <w:trPr>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424"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23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52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4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2,525.05</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四、上级补助收入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五、事业收入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2,510.49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六、经营收入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七、附属单位上缴收入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八、其他收入</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120.63</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22"/>
                <w:szCs w:val="22"/>
                <w:lang w:val="en-US" w:eastAsia="zh-CN"/>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二十三、其他支出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9"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二十四、债务还本支出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二十五、债务付息支出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529"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2,645.68</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b/>
                <w:i w:val="0"/>
                <w:color w:val="000000"/>
                <w:kern w:val="0"/>
                <w:sz w:val="22"/>
                <w:szCs w:val="22"/>
                <w:u w:val="none"/>
                <w:lang w:val="en-US" w:eastAsia="zh-CN" w:bidi="ar"/>
              </w:rPr>
              <w:t>本年支出合计</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2,555.66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结余分配</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196.97</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年末结转和结余</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286.99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9"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2470" w:type="dxa"/>
            <w:tcBorders>
              <w:top w:val="nil"/>
              <w:left w:val="nil"/>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1761" w:type="dxa"/>
            <w:tcBorders>
              <w:top w:val="nil"/>
              <w:left w:val="nil"/>
              <w:bottom w:val="single" w:color="auto" w:sz="4" w:space="0"/>
              <w:right w:val="single" w:color="auto" w:sz="4" w:space="0"/>
            </w:tcBorders>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5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2,842.65</w:t>
            </w:r>
          </w:p>
        </w:tc>
        <w:tc>
          <w:tcPr>
            <w:tcW w:w="2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b/>
                <w:i w:val="0"/>
                <w:color w:val="000000"/>
                <w:kern w:val="0"/>
                <w:sz w:val="22"/>
                <w:szCs w:val="22"/>
                <w:u w:val="none"/>
                <w:lang w:val="en-US" w:eastAsia="zh-CN" w:bidi="ar"/>
              </w:rPr>
              <w:t>总计</w:t>
            </w:r>
          </w:p>
        </w:tc>
        <w:tc>
          <w:tcPr>
            <w:tcW w:w="17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2,842.65</w:t>
            </w:r>
          </w:p>
        </w:tc>
      </w:tr>
    </w:tbl>
    <w:p>
      <w:pPr>
        <w:rPr>
          <w:rFonts w:hint="eastAsia"/>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w:t>
      </w:r>
      <w:r>
        <w:rPr>
          <w:rFonts w:hint="eastAsia"/>
          <w:lang w:eastAsia="zh-CN"/>
        </w:rPr>
        <w:t>单位</w:t>
      </w:r>
      <w:r>
        <w:rPr>
          <w:rFonts w:hint="eastAsia"/>
        </w:rPr>
        <w:t>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1180"/>
        <w:gridCol w:w="2180"/>
        <w:gridCol w:w="1540"/>
        <w:gridCol w:w="1540"/>
        <w:gridCol w:w="1540"/>
        <w:gridCol w:w="1540"/>
        <w:gridCol w:w="1540"/>
        <w:gridCol w:w="1583"/>
        <w:gridCol w:w="1497"/>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p>
          <w:p>
            <w:pPr>
              <w:widowControl/>
              <w:jc w:val="center"/>
              <w:rPr>
                <w:rFonts w:hint="eastAsia"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1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83"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4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2,645.68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2,525.05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120.63</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教育支出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2,600.40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2,479.76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120.63</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教育管理事务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2050103</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机关服务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0.38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0.38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2050199</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其他教育管理事务支出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20502</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普通教育</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1,575.96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1,455.96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2050299</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其他普通教育支出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1,575.96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1,455.96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20599</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1,002.44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1,001.80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0.63</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2059999</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1,002.44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1,001.80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0.63</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15.37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15.37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1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住房公积金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w:t>
      </w:r>
      <w:r>
        <w:rPr>
          <w:rFonts w:hint="eastAsia"/>
          <w:lang w:eastAsia="zh-CN"/>
        </w:rPr>
        <w:t>单位</w:t>
      </w:r>
      <w:r>
        <w:rPr>
          <w:rFonts w:hint="eastAsia"/>
        </w:rPr>
        <w:t>本年度取得的各项收入情况。</w:t>
      </w:r>
    </w:p>
    <w:p/>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2,555.66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155.15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2,400.51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教育支出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2,510.49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109.98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2,400.51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教育管理事务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机关服务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0.37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0.37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其他教育管理事务支出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普通教育</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1,733.97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1,733.97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2050299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其他普通教育支出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1,733.97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1,733.97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20599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756.02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99.54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656.48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2059999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其他教育支出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756.02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99.54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656.48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事业单位离退休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15.37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15.37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住房公积金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w:t>
      </w:r>
      <w:r>
        <w:rPr>
          <w:rFonts w:hint="eastAsia"/>
          <w:lang w:eastAsia="zh-CN"/>
        </w:rPr>
        <w:t>单位</w:t>
      </w:r>
      <w:r>
        <w:rPr>
          <w:rFonts w:hint="eastAsia"/>
        </w:rPr>
        <w:t>本年度各项支出情况。</w:t>
      </w:r>
    </w:p>
    <w:p/>
    <w:p/>
    <w:p/>
    <w:p/>
    <w:p/>
    <w:p/>
    <w:p/>
    <w:p/>
    <w:p/>
    <w:p/>
    <w:p/>
    <w:p/>
    <w:p/>
    <w:p/>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662"/>
        <w:gridCol w:w="675"/>
        <w:gridCol w:w="1643"/>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66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7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2,525.05</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三、国有资本经营财政拨款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2,390.05</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2,390.05</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7.19</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1643" w:type="dxa"/>
            <w:tcBorders>
              <w:top w:val="nil"/>
              <w:left w:val="nil"/>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二十三、其他支出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二十四、债务还本支出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二十五、债务付息支出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w:t>
            </w:r>
          </w:p>
        </w:tc>
        <w:tc>
          <w:tcPr>
            <w:tcW w:w="1643"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本年收入合计</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2,525.05</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本年支出合计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59</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2,435.21</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2,435.21</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187.78</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277.61</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277.61</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187.78</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w:t>
            </w:r>
          </w:p>
        </w:tc>
        <w:tc>
          <w:tcPr>
            <w:tcW w:w="126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w:t>
            </w:r>
          </w:p>
        </w:tc>
        <w:tc>
          <w:tcPr>
            <w:tcW w:w="126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w:t>
            </w:r>
          </w:p>
        </w:tc>
        <w:tc>
          <w:tcPr>
            <w:tcW w:w="126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trPr>
        <w:tc>
          <w:tcPr>
            <w:tcW w:w="36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总计</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32</w:t>
            </w:r>
          </w:p>
        </w:tc>
        <w:tc>
          <w:tcPr>
            <w:tcW w:w="16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2,712.83</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总计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2,712.83</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2,712.83</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r>
        <w:rPr>
          <w:rFonts w:hint="eastAsia"/>
        </w:rPr>
        <w:t>注：本表反映</w:t>
      </w:r>
      <w:r>
        <w:rPr>
          <w:rFonts w:hint="eastAsia"/>
          <w:lang w:eastAsia="zh-CN"/>
        </w:rPr>
        <w:t>单位</w:t>
      </w:r>
      <w:r>
        <w:rPr>
          <w:rFonts w:hint="eastAsia"/>
        </w:rPr>
        <w:t>本年度一般公共预算财政拨款和政府性基金预算财政拨款的总收支和年末结转结余情况。</w:t>
      </w:r>
    </w:p>
    <w:p/>
    <w:p/>
    <w:p/>
    <w:p/>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2,435.21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154.70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2,280.51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教育支出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2,390.05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109.54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2,280.51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教育管理事务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10.44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10.05</w:t>
            </w: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2050103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机关服务</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0.37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0.37</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2050199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其他教育管理事务支出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10.44</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9.68</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普通教育</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1,613.97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1,613.97</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2050299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其他普通教育支出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1,613.97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1,613.97</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其他教育支出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755.58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99.10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656.48</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2059999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其他教育支出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755.58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99.10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656.48</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事业单位离退休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4.67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4.67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15.37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15.37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2080506</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5.84</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5.84</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7.19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住房公积金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12.10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w:t>
      </w:r>
      <w:r>
        <w:rPr>
          <w:rFonts w:hint="eastAsia"/>
          <w:lang w:eastAsia="zh-CN"/>
        </w:rPr>
        <w:t>单位</w:t>
      </w:r>
      <w:r>
        <w:rPr>
          <w:rFonts w:hint="eastAsia"/>
        </w:rPr>
        <w:t>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916"/>
        <w:gridCol w:w="2791"/>
        <w:gridCol w:w="1208"/>
        <w:gridCol w:w="921"/>
        <w:gridCol w:w="1946"/>
        <w:gridCol w:w="1369"/>
      </w:tblGrid>
      <w:tr>
        <w:tblPrEx>
          <w:tblCellMar>
            <w:top w:w="0" w:type="dxa"/>
            <w:left w:w="108" w:type="dxa"/>
            <w:bottom w:w="0" w:type="dxa"/>
            <w:right w:w="108" w:type="dxa"/>
          </w:tblCellMar>
        </w:tblPrEx>
        <w:trPr>
          <w:trHeight w:val="564" w:hRule="atLeast"/>
        </w:trPr>
        <w:tc>
          <w:tcPr>
            <w:tcW w:w="491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2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79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0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2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94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6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140.07</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商品和服务支出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8.04</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基本工资</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43.49</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0.74</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30102</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津贴补贴</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1.30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印刷费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奖金</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30203</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咨询费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30106</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伙食补助费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30204</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手续费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30107</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绩效工资</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42.90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30205</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水费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15.37</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30206</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电费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0.33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5.84</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邮电费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7.14</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30208</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取暖费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30111</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10.44</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物业管理费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30112</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1.50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差旅费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0.98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30113</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12.10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30114</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医疗费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30213</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维修（护）费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30199</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30214</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租赁费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303</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对个人和家庭的补助</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4.27</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FF0000"/>
                <w:kern w:val="0"/>
                <w:sz w:val="22"/>
                <w:szCs w:val="22"/>
              </w:rPr>
            </w:pPr>
            <w:r>
              <w:rPr>
                <w:rFonts w:hint="eastAsia" w:ascii="宋体" w:hAnsi="宋体" w:eastAsia="宋体" w:cs="宋体"/>
                <w:i w:val="0"/>
                <w:color w:val="000000"/>
                <w:kern w:val="0"/>
                <w:sz w:val="22"/>
                <w:szCs w:val="22"/>
                <w:u w:val="none"/>
                <w:lang w:val="en-US" w:eastAsia="zh-CN" w:bidi="ar"/>
              </w:rPr>
              <w:t>30215</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FF0000"/>
                <w:kern w:val="0"/>
                <w:sz w:val="22"/>
                <w:szCs w:val="22"/>
              </w:rPr>
            </w:pPr>
            <w:r>
              <w:rPr>
                <w:rFonts w:hint="eastAsia" w:ascii="宋体" w:hAnsi="宋体" w:eastAsia="宋体" w:cs="宋体"/>
                <w:i w:val="0"/>
                <w:color w:val="000000"/>
                <w:kern w:val="0"/>
                <w:sz w:val="22"/>
                <w:szCs w:val="22"/>
                <w:u w:val="none"/>
                <w:lang w:val="en-US" w:eastAsia="zh-CN" w:bidi="ar"/>
              </w:rPr>
              <w:t xml:space="preserve">  会议费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30301</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 xml:space="preserve">  离休费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30216</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30302</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 xml:space="preserve">  退休费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4.27</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公务接待费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30303</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退职（役）费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30218</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专用材料费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30304</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抚恤金</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30224</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被装购置费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30305</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生活补助</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30225</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专用燃料费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30306</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救济费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30226</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劳务费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30307</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医疗费补助</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委托业务费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30308</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助学金</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工会经费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30309</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奖励金</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福利费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30310</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30231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30311</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30239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30399</w:t>
            </w:r>
          </w:p>
        </w:tc>
        <w:tc>
          <w:tcPr>
            <w:tcW w:w="27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30240</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债务利息及费用支出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30701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30702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资本性支出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31003</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31005</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31006</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大型修缮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31008</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物资储备</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土地补偿</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31010</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安置补助</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31011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31012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拆迁补偿</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31013</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31019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31021</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31022</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31099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39906</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赠与</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39907</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39908</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279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2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39999</w:t>
            </w:r>
          </w:p>
        </w:tc>
        <w:tc>
          <w:tcPr>
            <w:tcW w:w="19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3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370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20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144.34</w:t>
            </w:r>
          </w:p>
        </w:tc>
        <w:tc>
          <w:tcPr>
            <w:tcW w:w="286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36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10.37</w:t>
            </w:r>
          </w:p>
        </w:tc>
      </w:tr>
    </w:tbl>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w:t>
      </w:r>
      <w:r>
        <w:rPr>
          <w:rFonts w:hint="eastAsia"/>
          <w:lang w:eastAsia="zh-CN"/>
        </w:rPr>
        <w:t>单位</w:t>
      </w:r>
      <w:r>
        <w:rPr>
          <w:rFonts w:hint="eastAsia"/>
        </w:rPr>
        <w:t>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rPr>
      </w:pPr>
      <w:r>
        <w:rPr>
          <w:rFonts w:hint="eastAsia"/>
        </w:rPr>
        <w:t>注：本表反映</w:t>
      </w:r>
      <w:r>
        <w:rPr>
          <w:rFonts w:hint="eastAsia"/>
          <w:lang w:eastAsia="zh-CN"/>
        </w:rPr>
        <w:t>单位</w:t>
      </w:r>
      <w:r>
        <w:rPr>
          <w:rFonts w:hint="eastAsia"/>
        </w:rPr>
        <w:t>本年度“三公”经费支出预决算情况。其中，2020年度预算数为“三公”经费年初预算数，决算数是包括当年一般公共预算财政拨款和以前年度结转资金安排的实际支出。</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lang w:val="en-US" w:eastAsia="zh-CN"/>
        </w:rPr>
        <w:t>柳州市教学设备供应站</w:t>
      </w:r>
      <w:r>
        <w:rPr>
          <w:rFonts w:hint="eastAsia"/>
          <w:highlight w:val="none"/>
        </w:rPr>
        <w:t>没有</w:t>
      </w:r>
      <w:r>
        <w:rPr>
          <w:rFonts w:hint="eastAsia" w:ascii="Times New Roman" w:hAnsi="Times New Roman" w:cs="Times New Roman"/>
          <w:highlight w:val="none"/>
          <w:lang w:val="en-US" w:eastAsia="zh-CN"/>
        </w:rPr>
        <w:t>一般公共预算财政拨款安排的“三公”经费</w:t>
      </w:r>
      <w:r>
        <w:rPr>
          <w:rFonts w:hint="eastAsia"/>
          <w:highlight w:val="none"/>
          <w:lang w:eastAsia="zh-CN"/>
        </w:rPr>
        <w:t>收入，也没有</w:t>
      </w:r>
      <w:r>
        <w:rPr>
          <w:rFonts w:hint="eastAsia"/>
          <w:highlight w:val="none"/>
        </w:rPr>
        <w:t>没有</w:t>
      </w:r>
      <w:r>
        <w:rPr>
          <w:rFonts w:hint="eastAsia" w:ascii="Times New Roman" w:hAnsi="Times New Roman" w:cs="Times New Roman"/>
          <w:highlight w:val="none"/>
          <w:lang w:val="en-US" w:eastAsia="zh-CN"/>
        </w:rPr>
        <w:t>一般公共预算财政拨款安排的“三公”经费支出</w:t>
      </w:r>
      <w:r>
        <w:rPr>
          <w:rFonts w:hint="eastAsia" w:cs="Times New Roman"/>
          <w:highlight w:val="none"/>
          <w:lang w:val="en-US" w:eastAsia="zh-CN"/>
        </w:rPr>
        <w:t>，</w:t>
      </w:r>
      <w:r>
        <w:rPr>
          <w:rFonts w:hint="eastAsia"/>
          <w:highlight w:val="none"/>
        </w:rPr>
        <w:t>故本表无数据</w:t>
      </w:r>
      <w:r>
        <w:rPr>
          <w:rFonts w:hint="eastAsia"/>
          <w:highlight w:val="none"/>
          <w:lang w:eastAsia="zh-CN"/>
        </w:rPr>
        <w:t>。</w:t>
      </w:r>
    </w:p>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highlight w:val="none"/>
          <w:lang w:val="en-US" w:eastAsia="zh-CN"/>
        </w:rPr>
      </w:pPr>
      <w:r>
        <w:rPr>
          <w:rFonts w:hint="eastAsia"/>
        </w:rPr>
        <w:t>注：本表反映</w:t>
      </w:r>
      <w:r>
        <w:rPr>
          <w:rFonts w:hint="eastAsia"/>
          <w:lang w:eastAsia="zh-CN"/>
        </w:rPr>
        <w:t>单位</w:t>
      </w:r>
      <w:r>
        <w:rPr>
          <w:rFonts w:hint="eastAsia"/>
        </w:rPr>
        <w:t>本年度政府性基金预算财政拨款收入支出及结转和结余情况。</w:t>
      </w:r>
    </w:p>
    <w:p>
      <w:pPr>
        <w:spacing w:line="560" w:lineRule="exact"/>
        <w:ind w:firstLine="840" w:firstLineChars="400"/>
        <w:rPr>
          <w:rFonts w:hint="eastAsia"/>
        </w:rPr>
      </w:pPr>
      <w:r>
        <w:rPr>
          <w:rFonts w:hint="eastAsia"/>
          <w:highlight w:val="none"/>
          <w:lang w:val="en-US" w:eastAsia="zh-CN"/>
        </w:rPr>
        <w:t>柳州市教学设备供应站</w:t>
      </w:r>
      <w:r>
        <w:rPr>
          <w:rFonts w:hint="eastAsia"/>
          <w:highlight w:val="none"/>
        </w:rPr>
        <w:t>没有</w:t>
      </w:r>
      <w:r>
        <w:rPr>
          <w:rFonts w:hint="eastAsia"/>
          <w:highlight w:val="none"/>
          <w:lang w:val="en-US" w:eastAsia="zh-CN"/>
        </w:rPr>
        <w:t>政府性基金预算财政收款</w:t>
      </w:r>
      <w:r>
        <w:rPr>
          <w:rFonts w:hint="eastAsia"/>
          <w:highlight w:val="none"/>
          <w:lang w:eastAsia="zh-CN"/>
        </w:rPr>
        <w:t>收入，也没有</w:t>
      </w:r>
      <w:r>
        <w:rPr>
          <w:rFonts w:hint="eastAsia"/>
          <w:highlight w:val="none"/>
          <w:lang w:val="en-US" w:eastAsia="zh-CN"/>
        </w:rPr>
        <w:t>政府性基金预算财政收款</w:t>
      </w:r>
      <w:r>
        <w:rPr>
          <w:rFonts w:hint="eastAsia"/>
          <w:highlight w:val="none"/>
        </w:rPr>
        <w:t>安排的支出，故本表无数据</w:t>
      </w:r>
      <w:r>
        <w:rPr>
          <w:rFonts w:hint="eastAsia"/>
          <w:highlight w:val="none"/>
          <w:lang w:eastAsia="zh-CN"/>
        </w:rPr>
        <w:t>。</w:t>
      </w:r>
    </w:p>
    <w:p>
      <w:pPr>
        <w:spacing w:line="560" w:lineRule="exact"/>
        <w:rPr>
          <w:rFonts w:hint="eastAsia"/>
        </w:rPr>
      </w:pPr>
    </w:p>
    <w:p>
      <w:pPr>
        <w:spacing w:line="560" w:lineRule="exact"/>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单位</w:t>
            </w:r>
            <w:r>
              <w:rPr>
                <w:rFonts w:hint="eastAsia" w:ascii="宋体" w:hAnsi="宋体" w:eastAsia="宋体" w:cs="宋体"/>
                <w:i w:val="0"/>
                <w:color w:val="000000"/>
                <w:kern w:val="0"/>
                <w:sz w:val="20"/>
                <w:szCs w:val="20"/>
                <w:highlight w:val="none"/>
                <w:u w:val="none"/>
                <w:lang w:val="en-US" w:eastAsia="zh-CN" w:bidi="ar"/>
              </w:rPr>
              <w:t>：</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w:t>
            </w:r>
            <w:r>
              <w:rPr>
                <w:rFonts w:hint="eastAsia" w:ascii="宋体" w:hAnsi="宋体" w:cs="宋体"/>
                <w:i w:val="0"/>
                <w:color w:val="000000"/>
                <w:kern w:val="0"/>
                <w:sz w:val="24"/>
                <w:szCs w:val="24"/>
                <w:highlight w:val="none"/>
                <w:u w:val="none"/>
                <w:lang w:val="en-US" w:eastAsia="zh-CN" w:bidi="ar"/>
              </w:rPr>
              <w:t>单位</w:t>
            </w:r>
            <w:r>
              <w:rPr>
                <w:rFonts w:hint="eastAsia" w:ascii="宋体" w:hAnsi="宋体" w:eastAsia="宋体" w:cs="宋体"/>
                <w:i w:val="0"/>
                <w:color w:val="000000"/>
                <w:kern w:val="0"/>
                <w:sz w:val="24"/>
                <w:szCs w:val="24"/>
                <w:highlight w:val="none"/>
                <w:u w:val="none"/>
                <w:lang w:val="en-US" w:eastAsia="zh-CN" w:bidi="ar"/>
              </w:rPr>
              <w:t>本年度国有资本经营预算财政拨款支出情况。</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r>
        <w:rPr>
          <w:rFonts w:hint="eastAsia"/>
          <w:highlight w:val="none"/>
          <w:lang w:val="en-US" w:eastAsia="zh-CN"/>
        </w:rPr>
        <w:t>柳州市教学设备供应站</w:t>
      </w:r>
      <w:r>
        <w:rPr>
          <w:rFonts w:hint="eastAsia"/>
          <w:highlight w:val="none"/>
        </w:rPr>
        <w:t>没</w:t>
      </w:r>
      <w:r>
        <w:rPr>
          <w:rFonts w:hint="eastAsia" w:ascii="Times New Roman" w:hAnsi="Times New Roman" w:cs="Times New Roman"/>
          <w:highlight w:val="none"/>
          <w:lang w:val="en-US" w:eastAsia="zh-CN"/>
        </w:rPr>
        <w:t>有国有资本经营预算财政拨款收</w:t>
      </w:r>
      <w:r>
        <w:rPr>
          <w:rFonts w:hint="eastAsia"/>
          <w:highlight w:val="none"/>
          <w:lang w:eastAsia="zh-CN"/>
        </w:rPr>
        <w:t>入，也没有</w:t>
      </w:r>
      <w:r>
        <w:rPr>
          <w:rFonts w:hint="eastAsia" w:ascii="Times New Roman" w:hAnsi="Times New Roman" w:cs="Times New Roman"/>
          <w:highlight w:val="none"/>
          <w:lang w:val="en-US" w:eastAsia="zh-CN"/>
        </w:rPr>
        <w:t>国有资本经营预算财政拨款安排的支</w:t>
      </w:r>
      <w:r>
        <w:rPr>
          <w:rFonts w:hint="eastAsia"/>
          <w:highlight w:val="none"/>
        </w:rPr>
        <w:t>出，故本表无数据</w:t>
      </w:r>
      <w:r>
        <w:rPr>
          <w:rFonts w:hint="eastAsia"/>
          <w:highlight w:val="none"/>
          <w:lang w:eastAsia="zh-CN"/>
        </w:rPr>
        <w:t>。</w:t>
      </w:r>
    </w:p>
    <w:p>
      <w:pPr>
        <w:spacing w:line="580" w:lineRule="exact"/>
        <w:jc w:val="center"/>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柳州市教学设备供应站</w:t>
      </w:r>
      <w:r>
        <w:rPr>
          <w:rFonts w:hint="eastAsia" w:ascii="仿宋_GB2312" w:eastAsia="仿宋_GB2312"/>
          <w:b/>
          <w:sz w:val="32"/>
          <w:szCs w:val="32"/>
        </w:rPr>
        <w:t>2020年度</w:t>
      </w:r>
    </w:p>
    <w:p>
      <w:pPr>
        <w:spacing w:line="580" w:lineRule="exact"/>
        <w:jc w:val="center"/>
        <w:rPr>
          <w:rFonts w:hint="eastAsia" w:ascii="仿宋_GB2312" w:eastAsia="仿宋_GB2312"/>
          <w:b/>
          <w:sz w:val="32"/>
          <w:szCs w:val="32"/>
        </w:rPr>
      </w:pP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2842.65</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2842.65</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1323.82</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31.77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w:t>
      </w:r>
      <w:r>
        <w:rPr>
          <w:rFonts w:hint="eastAsia" w:ascii="仿宋_GB2312" w:eastAsia="仿宋_GB2312" w:cs="仿宋_GB2312"/>
          <w:bCs/>
          <w:kern w:val="0"/>
          <w:sz w:val="32"/>
          <w:szCs w:val="32"/>
          <w:lang w:val="en-US" w:eastAsia="zh-CN"/>
        </w:rPr>
        <w:t>合计2645.68万元，其中：</w:t>
      </w:r>
      <w:r>
        <w:rPr>
          <w:rFonts w:hint="eastAsia" w:ascii="仿宋_GB2312" w:eastAsia="仿宋_GB2312" w:cs="仿宋_GB2312"/>
          <w:bCs/>
          <w:kern w:val="0"/>
          <w:sz w:val="32"/>
          <w:szCs w:val="32"/>
        </w:rPr>
        <w:t>一般公共预算财政拨款收入</w:t>
      </w:r>
      <w:r>
        <w:rPr>
          <w:rFonts w:hint="eastAsia" w:ascii="仿宋_GB2312" w:eastAsia="仿宋_GB2312" w:cs="仿宋_GB2312"/>
          <w:bCs/>
          <w:kern w:val="0"/>
          <w:sz w:val="32"/>
          <w:szCs w:val="32"/>
          <w:lang w:val="en-US" w:eastAsia="zh-CN"/>
        </w:rPr>
        <w:t>2525.05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95.44%</w:t>
      </w:r>
      <w:r>
        <w:rPr>
          <w:rFonts w:hint="eastAsia" w:ascii="仿宋_GB2312" w:eastAsia="仿宋_GB2312" w:cs="仿宋_GB2312"/>
          <w:bCs/>
          <w:kern w:val="0"/>
          <w:sz w:val="32"/>
          <w:szCs w:val="32"/>
        </w:rPr>
        <w:t> ；其他收入</w:t>
      </w:r>
      <w:r>
        <w:rPr>
          <w:rFonts w:hint="eastAsia" w:ascii="仿宋_GB2312" w:eastAsia="仿宋_GB2312" w:cs="仿宋_GB2312"/>
          <w:bCs/>
          <w:kern w:val="0"/>
          <w:sz w:val="32"/>
          <w:szCs w:val="32"/>
          <w:lang w:val="en-US" w:eastAsia="zh-CN"/>
        </w:rPr>
        <w:t>120.63</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4.56%</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2435.21</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154.70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6.35</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2280.51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93.65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2712.83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2712.83</w:t>
      </w:r>
      <w:r>
        <w:rPr>
          <w:rFonts w:hint="eastAsia" w:ascii="仿宋_GB2312" w:eastAsia="仿宋_GB2312" w:cs="仿宋_GB2312"/>
          <w:bCs/>
          <w:kern w:val="0"/>
          <w:sz w:val="32"/>
          <w:szCs w:val="32"/>
        </w:rPr>
        <w:t>万元。与2019年相比，财政拨款收、支总计各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1446.47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34.78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2435.21</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95.29</w:t>
      </w:r>
      <w:r>
        <w:rPr>
          <w:rFonts w:hint="eastAsia" w:ascii="仿宋_GB2312" w:eastAsia="仿宋_GB2312" w:cs="仿宋_GB2312"/>
          <w:bCs/>
          <w:kern w:val="0"/>
          <w:sz w:val="32"/>
          <w:szCs w:val="32"/>
        </w:rPr>
        <w:t>%。</w:t>
      </w:r>
      <w:r>
        <w:rPr>
          <w:rFonts w:hint="eastAsia" w:ascii="仿宋_GB2312" w:eastAsia="仿宋_GB2312" w:cs="仿宋_GB2312"/>
          <w:bCs/>
          <w:color w:val="000000" w:themeColor="text1"/>
          <w:kern w:val="0"/>
          <w:sz w:val="32"/>
          <w:szCs w:val="32"/>
          <w14:textFill>
            <w14:solidFill>
              <w14:schemeClr w14:val="tx1"/>
            </w14:solidFill>
          </w14:textFill>
        </w:rPr>
        <w:t>与2019年相比，财政拨款支出</w:t>
      </w:r>
      <w:r>
        <w:rPr>
          <w:rFonts w:hint="eastAsia" w:ascii="仿宋_GB2312" w:eastAsia="仿宋_GB2312" w:cs="仿宋_GB2312"/>
          <w:bCs/>
          <w:color w:val="000000" w:themeColor="text1"/>
          <w:kern w:val="0"/>
          <w:sz w:val="32"/>
          <w:szCs w:val="32"/>
          <w:lang w:eastAsia="zh-CN"/>
          <w14:textFill>
            <w14:solidFill>
              <w14:schemeClr w14:val="tx1"/>
            </w14:solidFill>
          </w14:textFill>
        </w:rPr>
        <w:t>减</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1460.57</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下降</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37.49</w:t>
      </w:r>
      <w:r>
        <w:rPr>
          <w:rFonts w:hint="eastAsia" w:ascii="仿宋_GB2312" w:eastAsia="仿宋_GB2312" w:cs="仿宋_GB2312"/>
          <w:bCs/>
          <w:color w:val="000000" w:themeColor="text1"/>
          <w:kern w:val="0"/>
          <w:sz w:val="32"/>
          <w:szCs w:val="32"/>
          <w14:textFill>
            <w14:solidFill>
              <w14:schemeClr w14:val="tx1"/>
            </w14:solidFill>
          </w14:textFill>
        </w:rPr>
        <w:t>%。</w:t>
      </w:r>
    </w:p>
    <w:p>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2435.21</w:t>
      </w:r>
      <w:r>
        <w:rPr>
          <w:rFonts w:hint="eastAsia" w:ascii="仿宋_GB2312" w:eastAsia="仿宋_GB2312" w:cs="仿宋_GB2312"/>
          <w:bCs/>
          <w:kern w:val="0"/>
          <w:sz w:val="32"/>
          <w:szCs w:val="32"/>
        </w:rPr>
        <w:t>万元，主要用于以下方面：教育（类）支出</w:t>
      </w:r>
      <w:r>
        <w:rPr>
          <w:rFonts w:hint="eastAsia" w:ascii="仿宋_GB2312" w:eastAsia="仿宋_GB2312" w:cs="仿宋_GB2312"/>
          <w:bCs/>
          <w:kern w:val="0"/>
          <w:sz w:val="32"/>
          <w:szCs w:val="32"/>
          <w:lang w:val="en-US" w:eastAsia="zh-CN"/>
        </w:rPr>
        <w:t>2390.05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98.14</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25.87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1.06</w:t>
      </w:r>
      <w:r>
        <w:rPr>
          <w:rFonts w:hint="eastAsia" w:ascii="仿宋_GB2312" w:eastAsia="仿宋_GB2312" w:cs="仿宋_GB2312"/>
          <w:bCs/>
          <w:kern w:val="0"/>
          <w:sz w:val="32"/>
          <w:szCs w:val="32"/>
        </w:rPr>
        <w:t>%；卫生健康支出</w:t>
      </w:r>
      <w:r>
        <w:rPr>
          <w:rFonts w:hint="eastAsia" w:ascii="仿宋_GB2312" w:eastAsia="仿宋_GB2312" w:cs="仿宋_GB2312"/>
          <w:bCs/>
          <w:kern w:val="0"/>
          <w:sz w:val="32"/>
          <w:szCs w:val="32"/>
          <w:lang w:val="en-US" w:eastAsia="zh-CN"/>
        </w:rPr>
        <w:t>7.19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0.30</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12.10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0.50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3503.31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2435.21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69.51</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于预算数的主要原因：一是</w:t>
      </w:r>
      <w:r>
        <w:rPr>
          <w:rFonts w:hint="eastAsia" w:ascii="仿宋_GB2312" w:eastAsia="仿宋_GB2312" w:cs="仿宋_GB2312"/>
          <w:bCs/>
          <w:kern w:val="0"/>
          <w:sz w:val="32"/>
          <w:szCs w:val="32"/>
          <w:lang w:eastAsia="zh-CN"/>
        </w:rPr>
        <w:t>年初预算数包含一般公共预算支出和政府采购预算支出，政府采购</w:t>
      </w:r>
      <w:r>
        <w:rPr>
          <w:rFonts w:hint="eastAsia" w:ascii="仿宋_GB2312" w:eastAsia="仿宋_GB2312" w:cs="仿宋_GB2312"/>
          <w:bCs/>
          <w:kern w:val="0"/>
          <w:sz w:val="32"/>
          <w:szCs w:val="32"/>
        </w:rPr>
        <w:t>涉及项目</w:t>
      </w:r>
      <w:r>
        <w:rPr>
          <w:rFonts w:hint="eastAsia" w:ascii="仿宋_GB2312" w:eastAsia="仿宋_GB2312" w:cs="仿宋_GB2312"/>
          <w:bCs/>
          <w:kern w:val="0"/>
          <w:sz w:val="32"/>
          <w:szCs w:val="32"/>
          <w:lang w:val="en-US" w:eastAsia="zh-CN"/>
        </w:rPr>
        <w:t>为</w:t>
      </w:r>
      <w:r>
        <w:rPr>
          <w:rFonts w:hint="eastAsia" w:ascii="仿宋_GB2312" w:hAnsi="仿宋" w:eastAsia="仿宋_GB2312"/>
          <w:sz w:val="32"/>
          <w:szCs w:val="32"/>
          <w:lang w:eastAsia="zh-CN"/>
        </w:rPr>
        <w:t>教学仪器、</w:t>
      </w:r>
      <w:r>
        <w:rPr>
          <w:rFonts w:hint="eastAsia" w:ascii="仿宋_GB2312" w:hAnsi="仿宋" w:eastAsia="仿宋_GB2312"/>
          <w:sz w:val="32"/>
          <w:szCs w:val="32"/>
          <w:lang w:val="en-US" w:eastAsia="zh-CN"/>
        </w:rPr>
        <w:t>课桌椅、护眼灯、防疫物资等</w:t>
      </w:r>
      <w:r>
        <w:rPr>
          <w:rFonts w:hint="eastAsia" w:ascii="仿宋_GB2312" w:hAnsi="仿宋" w:eastAsia="仿宋_GB2312"/>
          <w:sz w:val="32"/>
          <w:szCs w:val="32"/>
          <w:lang w:eastAsia="zh-CN"/>
        </w:rPr>
        <w:t>，部分政府采购项目尾款、</w:t>
      </w:r>
      <w:r>
        <w:rPr>
          <w:rFonts w:hint="eastAsia" w:ascii="仿宋_GB2312" w:hAnsi="仿宋" w:eastAsia="仿宋_GB2312"/>
          <w:sz w:val="32"/>
          <w:szCs w:val="32"/>
          <w:lang w:val="en-US" w:eastAsia="zh-CN"/>
        </w:rPr>
        <w:t>防疫项目资金结转至次年使用</w:t>
      </w:r>
      <w:r>
        <w:rPr>
          <w:rFonts w:hint="eastAsia" w:ascii="仿宋_GB2312" w:eastAsia="仿宋_GB2312" w:cs="仿宋_GB2312"/>
          <w:bCs/>
          <w:kern w:val="0"/>
          <w:sz w:val="32"/>
          <w:szCs w:val="32"/>
        </w:rPr>
        <w:t>；二是部分支出按规定，通过使用以前年度财政拨款结转资金解决。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1.</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205</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01</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03</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机关服务，</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0.37</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0.37</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办公经费增加。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2.205</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01</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99</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其他教育管理服务支出，</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11.18</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20.12</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8.94</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179.96</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聘用人员经费增加。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eastAsia="仿宋_GB2312" w:cs="仿宋_GB2312"/>
          <w:bCs/>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205</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02</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99</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其他普通教育支出，</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1613.97</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1613.97</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hAnsi="仿宋" w:eastAsia="仿宋_GB2312"/>
          <w:color w:val="000000" w:themeColor="text1"/>
          <w:sz w:val="32"/>
          <w:szCs w:val="32"/>
          <w:lang w:eastAsia="zh-CN"/>
          <w14:textFill>
            <w14:solidFill>
              <w14:schemeClr w14:val="tx1"/>
            </w14:solidFill>
          </w14:textFill>
        </w:rPr>
        <w:t>教学仪器、</w:t>
      </w:r>
      <w:r>
        <w:rPr>
          <w:rFonts w:hint="eastAsia" w:ascii="仿宋_GB2312" w:hAnsi="仿宋" w:eastAsia="仿宋_GB2312"/>
          <w:color w:val="000000" w:themeColor="text1"/>
          <w:sz w:val="32"/>
          <w:szCs w:val="32"/>
          <w:lang w:val="en-US" w:eastAsia="zh-CN"/>
          <w14:textFill>
            <w14:solidFill>
              <w14:schemeClr w14:val="tx1"/>
            </w14:solidFill>
          </w14:textFill>
        </w:rPr>
        <w:t>课桌椅、护眼灯等</w:t>
      </w:r>
      <w:r>
        <w:rPr>
          <w:rFonts w:hint="eastAsia" w:ascii="仿宋_GB2312" w:hAnsi="仿宋" w:eastAsia="仿宋_GB2312"/>
          <w:color w:val="000000" w:themeColor="text1"/>
          <w:sz w:val="32"/>
          <w:szCs w:val="32"/>
          <w:lang w:eastAsia="zh-CN"/>
          <w14:textFill>
            <w14:solidFill>
              <w14:schemeClr w14:val="tx1"/>
            </w14:solidFill>
          </w14:textFill>
        </w:rPr>
        <w:t>设备政府采购项目资金追加</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eastAsia="仿宋_GB2312" w:cs="仿宋_GB2312"/>
          <w:bCs/>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205</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99</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99</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其他普通教育支出，</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85.51</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755.58</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670.07</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883.62</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hAnsi="仿宋" w:eastAsia="仿宋_GB2312"/>
          <w:color w:val="000000" w:themeColor="text1"/>
          <w:sz w:val="32"/>
          <w:szCs w:val="32"/>
          <w:lang w:val="en-US" w:eastAsia="zh-CN"/>
          <w14:textFill>
            <w14:solidFill>
              <w14:schemeClr w14:val="tx1"/>
            </w14:solidFill>
          </w14:textFill>
        </w:rPr>
        <w:t>防疫物资</w:t>
      </w:r>
      <w:r>
        <w:rPr>
          <w:rFonts w:hint="eastAsia" w:ascii="仿宋_GB2312" w:hAnsi="仿宋" w:eastAsia="仿宋_GB2312"/>
          <w:color w:val="000000" w:themeColor="text1"/>
          <w:sz w:val="32"/>
          <w:szCs w:val="32"/>
          <w:lang w:eastAsia="zh-CN"/>
          <w14:textFill>
            <w14:solidFill>
              <w14:schemeClr w14:val="tx1"/>
            </w14:solidFill>
          </w14:textFill>
        </w:rPr>
        <w:t>政府采购项目资金追加</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5.208</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05</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02</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事业单位离退休，</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3.83</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4.67</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0.84</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121.93</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退休人员补助增加。</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6.208</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05</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05</w:t>
      </w:r>
      <w:r>
        <w:rPr>
          <w:rFonts w:hint="eastAsia" w:ascii="仿宋_GB2312" w:eastAsia="仿宋_GB2312" w:cs="仿宋_GB2312"/>
          <w:bCs/>
          <w:color w:val="000000" w:themeColor="text1"/>
          <w:kern w:val="0"/>
          <w:sz w:val="32"/>
          <w:szCs w:val="32"/>
          <w14:textFill>
            <w14:solidFill>
              <w14:schemeClr w14:val="tx1"/>
            </w14:solidFill>
          </w14:textFill>
        </w:rPr>
        <w:t>项机关事业单位基本养老保险缴费支出</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11.68</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15.37</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3.69</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131.59</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在职人员增加。</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7.</w:t>
      </w:r>
      <w:r>
        <w:rPr>
          <w:rFonts w:hint="eastAsia" w:asci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208</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05</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06</w:t>
      </w:r>
      <w:r>
        <w:rPr>
          <w:rFonts w:hint="eastAsia" w:ascii="仿宋_GB2312" w:eastAsia="仿宋_GB2312" w:cs="仿宋_GB2312"/>
          <w:bCs/>
          <w:color w:val="000000" w:themeColor="text1"/>
          <w:kern w:val="0"/>
          <w:sz w:val="32"/>
          <w:szCs w:val="32"/>
          <w14:textFill>
            <w14:solidFill>
              <w14:schemeClr w14:val="tx1"/>
            </w14:solidFill>
          </w14:textFill>
        </w:rPr>
        <w:t>项机关事业单位职业年金缴费支出</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5.84</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5.84</w:t>
      </w:r>
      <w:r>
        <w:rPr>
          <w:rFonts w:hint="eastAsia" w:ascii="仿宋_GB2312" w:eastAsia="仿宋_GB2312" w:cs="仿宋_GB2312"/>
          <w:bCs/>
          <w:color w:val="000000" w:themeColor="text1"/>
          <w:kern w:val="0"/>
          <w:sz w:val="32"/>
          <w:szCs w:val="32"/>
          <w14:textFill>
            <w14:solidFill>
              <w14:schemeClr w14:val="tx1"/>
            </w14:solidFill>
          </w14:textFill>
        </w:rPr>
        <w:t>万元，为年度预算的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100</w:t>
      </w:r>
      <w:r>
        <w:rPr>
          <w:rFonts w:hint="eastAsia" w:ascii="仿宋_GB2312" w:eastAsia="仿宋_GB2312" w:cs="仿宋_GB2312"/>
          <w:bCs/>
          <w:color w:val="000000" w:themeColor="text1"/>
          <w:kern w:val="0"/>
          <w:sz w:val="32"/>
          <w:szCs w:val="32"/>
          <w14:textFill>
            <w14:solidFill>
              <w14:schemeClr w14:val="tx1"/>
            </w14:solidFill>
          </w14:textFill>
        </w:rPr>
        <w:t>%。</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8.</w:t>
      </w:r>
      <w:r>
        <w:rPr>
          <w:rFonts w:hint="eastAsia" w:asci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210</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11</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02</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事业单位医疗，</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5.52</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7.19</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1.67</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130.25</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在职人员增加。</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autoSpaceDE w:val="0"/>
        <w:autoSpaceDN w:val="0"/>
        <w:adjustRightInd w:val="0"/>
        <w:spacing w:line="580" w:lineRule="exact"/>
        <w:ind w:firstLine="640" w:firstLineChars="200"/>
        <w:jc w:val="left"/>
        <w:rPr>
          <w:rFonts w:hint="default"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lang w:val="en-US" w:eastAsia="zh-CN"/>
          <w14:textFill>
            <w14:solidFill>
              <w14:schemeClr w14:val="tx1"/>
            </w14:solidFill>
          </w14:textFill>
        </w:rPr>
        <w:t>9.221</w:t>
      </w:r>
      <w:r>
        <w:rPr>
          <w:rFonts w:hint="eastAsia" w:ascii="仿宋_GB2312" w:eastAsia="仿宋_GB2312" w:cs="仿宋_GB2312"/>
          <w:bCs/>
          <w:color w:val="000000" w:themeColor="text1"/>
          <w:kern w:val="0"/>
          <w:sz w:val="32"/>
          <w:szCs w:val="32"/>
          <w14:textFill>
            <w14:solidFill>
              <w14:schemeClr w14:val="tx1"/>
            </w14:solidFill>
          </w14:textFill>
        </w:rPr>
        <w:t>类</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02</w:t>
      </w:r>
      <w:r>
        <w:rPr>
          <w:rFonts w:hint="eastAsia" w:ascii="仿宋_GB2312" w:eastAsia="仿宋_GB2312" w:cs="仿宋_GB2312"/>
          <w:bCs/>
          <w:color w:val="000000" w:themeColor="text1"/>
          <w:kern w:val="0"/>
          <w:sz w:val="32"/>
          <w:szCs w:val="32"/>
          <w14:textFill>
            <w14:solidFill>
              <w14:schemeClr w14:val="tx1"/>
            </w14:solidFill>
          </w14:textFill>
        </w:rPr>
        <w:t>款</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01</w:t>
      </w:r>
      <w:r>
        <w:rPr>
          <w:rFonts w:hint="eastAsia" w:ascii="仿宋_GB2312" w:eastAsia="仿宋_GB2312" w:cs="仿宋_GB2312"/>
          <w:bCs/>
          <w:color w:val="000000" w:themeColor="text1"/>
          <w:kern w:val="0"/>
          <w:sz w:val="32"/>
          <w:szCs w:val="32"/>
          <w14:textFill>
            <w14:solidFill>
              <w14:schemeClr w14:val="tx1"/>
            </w14:solidFill>
          </w14:textFill>
        </w:rPr>
        <w:t>项</w:t>
      </w:r>
      <w:r>
        <w:rPr>
          <w:rFonts w:hint="eastAsia" w:ascii="仿宋_GB2312" w:eastAsia="仿宋_GB2312" w:cs="仿宋_GB2312"/>
          <w:bCs/>
          <w:color w:val="000000" w:themeColor="text1"/>
          <w:kern w:val="0"/>
          <w:sz w:val="32"/>
          <w:szCs w:val="32"/>
          <w:lang w:eastAsia="zh-CN"/>
          <w14:textFill>
            <w14:solidFill>
              <w14:schemeClr w14:val="tx1"/>
            </w14:solidFill>
          </w14:textFill>
        </w:rPr>
        <w:t>住房公积金，</w:t>
      </w:r>
      <w:r>
        <w:rPr>
          <w:rFonts w:hint="eastAsia" w:ascii="仿宋_GB2312" w:eastAsia="仿宋_GB2312" w:cs="仿宋_GB2312"/>
          <w:bCs/>
          <w:color w:val="000000" w:themeColor="text1"/>
          <w:kern w:val="0"/>
          <w:sz w:val="32"/>
          <w:szCs w:val="32"/>
          <w14:textFill>
            <w14:solidFill>
              <w14:schemeClr w14:val="tx1"/>
            </w14:solidFill>
          </w14:textFill>
        </w:rPr>
        <w:t>年初预算为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8.76</w:t>
      </w:r>
      <w:r>
        <w:rPr>
          <w:rFonts w:hint="eastAsia" w:ascii="仿宋_GB2312" w:eastAsia="仿宋_GB2312" w:cs="仿宋_GB2312"/>
          <w:bCs/>
          <w:color w:val="000000" w:themeColor="text1"/>
          <w:kern w:val="0"/>
          <w:sz w:val="32"/>
          <w:szCs w:val="32"/>
          <w14:textFill>
            <w14:solidFill>
              <w14:schemeClr w14:val="tx1"/>
            </w14:solidFill>
          </w14:textFill>
        </w:rPr>
        <w:t>万元，支出决算为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12.10</w:t>
      </w:r>
      <w:r>
        <w:rPr>
          <w:rFonts w:hint="eastAsia" w:ascii="仿宋_GB2312" w:eastAsia="仿宋_GB2312" w:cs="仿宋_GB2312"/>
          <w:bCs/>
          <w:color w:val="000000" w:themeColor="text1"/>
          <w:kern w:val="0"/>
          <w:sz w:val="32"/>
          <w:szCs w:val="32"/>
          <w14:textFill>
            <w14:solidFill>
              <w14:schemeClr w14:val="tx1"/>
            </w14:solidFill>
          </w14:textFill>
        </w:rPr>
        <w:t>万元，与年</w:t>
      </w:r>
      <w:r>
        <w:rPr>
          <w:rFonts w:hint="eastAsia" w:ascii="仿宋_GB2312" w:eastAsia="仿宋_GB2312" w:cs="仿宋_GB2312"/>
          <w:bCs/>
          <w:color w:val="000000" w:themeColor="text1"/>
          <w:kern w:val="0"/>
          <w:sz w:val="32"/>
          <w:szCs w:val="32"/>
          <w:lang w:eastAsia="zh-CN"/>
          <w14:textFill>
            <w14:solidFill>
              <w14:schemeClr w14:val="tx1"/>
            </w14:solidFill>
          </w14:textFill>
        </w:rPr>
        <w:t>初</w:t>
      </w:r>
      <w:r>
        <w:rPr>
          <w:rFonts w:hint="eastAsia" w:ascii="仿宋_GB2312" w:eastAsia="仿宋_GB2312" w:cs="仿宋_GB2312"/>
          <w:bCs/>
          <w:color w:val="000000" w:themeColor="text1"/>
          <w:kern w:val="0"/>
          <w:sz w:val="32"/>
          <w:szCs w:val="32"/>
          <w14:textFill>
            <w14:solidFill>
              <w14:schemeClr w14:val="tx1"/>
            </w14:solidFill>
          </w14:textFill>
        </w:rPr>
        <w:t>预算相比</w:t>
      </w:r>
      <w:r>
        <w:rPr>
          <w:rFonts w:hint="eastAsia" w:ascii="仿宋_GB2312" w:eastAsia="仿宋_GB2312" w:cs="仿宋_GB2312"/>
          <w:bCs/>
          <w:color w:val="000000" w:themeColor="text1"/>
          <w:kern w:val="0"/>
          <w:sz w:val="32"/>
          <w:szCs w:val="32"/>
          <w:lang w:eastAsia="zh-CN"/>
          <w14:textFill>
            <w14:solidFill>
              <w14:schemeClr w14:val="tx1"/>
            </w14:solidFill>
          </w14:textFill>
        </w:rPr>
        <w:t>多</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3.34</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138.13</w:t>
      </w:r>
      <w:r>
        <w:rPr>
          <w:rFonts w:hint="eastAsia" w:ascii="仿宋_GB2312" w:eastAsia="仿宋_GB2312" w:cs="仿宋_GB2312"/>
          <w:bCs/>
          <w:color w:val="000000" w:themeColor="text1"/>
          <w:kern w:val="0"/>
          <w:sz w:val="32"/>
          <w:szCs w:val="32"/>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lang w:eastAsia="zh-CN"/>
          <w14:textFill>
            <w14:solidFill>
              <w14:schemeClr w14:val="tx1"/>
            </w14:solidFill>
          </w14:textFill>
        </w:rPr>
        <w:t>在职人员增加。</w:t>
      </w:r>
      <w:r>
        <w:rPr>
          <w:rFonts w:hint="eastAsia" w:ascii="仿宋_GB2312" w:eastAsia="仿宋_GB2312" w:cs="仿宋_GB2312"/>
          <w:bCs/>
          <w:color w:val="000000" w:themeColor="text1"/>
          <w:kern w:val="0"/>
          <w:sz w:val="32"/>
          <w:szCs w:val="32"/>
          <w14:textFill>
            <w14:solidFill>
              <w14:schemeClr w14:val="tx1"/>
            </w14:solidFill>
          </w14:textFill>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154.70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144.34</w:t>
      </w:r>
      <w:r>
        <w:rPr>
          <w:rFonts w:hint="eastAsia" w:ascii="仿宋_GB2312" w:eastAsia="仿宋_GB2312" w:cs="仿宋_GB2312"/>
          <w:bCs/>
          <w:kern w:val="0"/>
          <w:sz w:val="32"/>
          <w:szCs w:val="32"/>
        </w:rPr>
        <w:t>万元，主要包括：基本工资、津贴补贴、绩效工资、机关事业单位基本养老保险缴费、职业年金缴费、</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rPr>
        <w:t>公务员医疗补助缴费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其他社会保障缴费、退休费、住房公积金；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10.37</w:t>
      </w:r>
      <w:r>
        <w:rPr>
          <w:rFonts w:hint="eastAsia" w:ascii="仿宋_GB2312" w:eastAsia="仿宋_GB2312" w:cs="仿宋_GB2312"/>
          <w:bCs/>
          <w:kern w:val="0"/>
          <w:sz w:val="32"/>
          <w:szCs w:val="32"/>
        </w:rPr>
        <w:t>万元，主要 包括：办公费、水费、电费、邮电费、差旅费、维修（护）费、工会经费、其他商品和服务支出、办公设备购置</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 xml:space="preserve">七、2020 年度一般公共预算财政拨款“三公” 经费支出决算情况 </w:t>
      </w:r>
      <w:r>
        <w:rPr>
          <w:rFonts w:hint="eastAsia" w:ascii="仿宋_GB2312" w:eastAsia="仿宋_GB2312" w:cs="仿宋_GB2312"/>
          <w:b/>
          <w:bCs w:val="0"/>
          <w:kern w:val="0"/>
          <w:sz w:val="32"/>
          <w:szCs w:val="32"/>
          <w:lang w:eastAsia="zh-CN"/>
        </w:rPr>
        <w:t>（无）</w:t>
      </w:r>
    </w:p>
    <w:p>
      <w:pPr>
        <w:autoSpaceDE w:val="0"/>
        <w:autoSpaceDN w:val="0"/>
        <w:adjustRightInd w:val="0"/>
        <w:spacing w:line="580" w:lineRule="exact"/>
        <w:ind w:firstLine="643" w:firstLineChars="200"/>
        <w:jc w:val="left"/>
        <w:rPr>
          <w:rFonts w:ascii="仿宋_GB2312" w:eastAsia="仿宋_GB2312" w:cs="仿宋_GB2312"/>
          <w:b/>
          <w:bCs w:val="0"/>
          <w:kern w:val="0"/>
          <w:sz w:val="32"/>
          <w:szCs w:val="32"/>
        </w:rPr>
      </w:pPr>
      <w:r>
        <w:rPr>
          <w:rFonts w:hint="eastAsia" w:ascii="仿宋_GB2312" w:eastAsia="仿宋_GB2312" w:cs="仿宋_GB2312"/>
          <w:b/>
          <w:bCs w:val="0"/>
          <w:kern w:val="0"/>
          <w:sz w:val="32"/>
          <w:szCs w:val="32"/>
        </w:rPr>
        <w:t>八、2020 年度政府性基金预算财政拨款收入支出决算情况说明 （</w:t>
      </w:r>
      <w:r>
        <w:rPr>
          <w:rFonts w:hint="eastAsia" w:ascii="仿宋_GB2312" w:eastAsia="仿宋_GB2312" w:cs="仿宋_GB2312"/>
          <w:b/>
          <w:bCs w:val="0"/>
          <w:kern w:val="0"/>
          <w:sz w:val="32"/>
          <w:szCs w:val="32"/>
          <w:lang w:eastAsia="zh-CN"/>
        </w:rPr>
        <w:t>无</w:t>
      </w:r>
      <w:r>
        <w:rPr>
          <w:rFonts w:hint="eastAsia" w:ascii="仿宋_GB2312" w:eastAsia="仿宋_GB2312" w:cs="仿宋_GB2312"/>
          <w:b/>
          <w:bCs w:val="0"/>
          <w:kern w:val="0"/>
          <w:sz w:val="32"/>
          <w:szCs w:val="32"/>
        </w:rPr>
        <w:t xml:space="preserve">）  </w:t>
      </w:r>
    </w:p>
    <w:p>
      <w:pPr>
        <w:numPr>
          <w:ilvl w:val="0"/>
          <w:numId w:val="3"/>
        </w:numPr>
        <w:autoSpaceDE w:val="0"/>
        <w:autoSpaceDN w:val="0"/>
        <w:adjustRightInd w:val="0"/>
        <w:spacing w:line="580" w:lineRule="exact"/>
        <w:ind w:firstLine="643" w:firstLineChars="200"/>
        <w:jc w:val="left"/>
        <w:rPr>
          <w:rFonts w:hint="eastAsia" w:ascii="仿宋_GB2312" w:eastAsia="仿宋_GB2312" w:cs="仿宋_GB2312"/>
          <w:b/>
          <w:bCs w:val="0"/>
          <w:kern w:val="0"/>
          <w:sz w:val="32"/>
          <w:szCs w:val="32"/>
          <w:highlight w:val="none"/>
          <w:lang w:val="en-US" w:eastAsia="zh-CN"/>
        </w:rPr>
      </w:pPr>
      <w:r>
        <w:rPr>
          <w:rFonts w:hint="eastAsia" w:ascii="仿宋_GB2312" w:eastAsia="仿宋_GB2312" w:cs="仿宋_GB2312"/>
          <w:b/>
          <w:bCs w:val="0"/>
          <w:kern w:val="0"/>
          <w:sz w:val="32"/>
          <w:szCs w:val="32"/>
          <w:highlight w:val="none"/>
          <w:lang w:eastAsia="zh-CN"/>
        </w:rPr>
        <w:t>国有资本经营预算财政拨款支出情况说明</w:t>
      </w:r>
      <w:r>
        <w:rPr>
          <w:rFonts w:hint="eastAsia" w:ascii="仿宋_GB2312" w:eastAsia="仿宋_GB2312" w:cs="仿宋_GB2312"/>
          <w:b/>
          <w:bCs w:val="0"/>
          <w:kern w:val="0"/>
          <w:sz w:val="32"/>
          <w:szCs w:val="32"/>
          <w:highlight w:val="none"/>
          <w:lang w:val="en-US" w:eastAsia="zh-CN"/>
        </w:rPr>
        <w:t xml:space="preserve"> </w:t>
      </w:r>
      <w:r>
        <w:rPr>
          <w:rFonts w:hint="eastAsia" w:ascii="仿宋_GB2312" w:eastAsia="仿宋_GB2312" w:cs="仿宋_GB2312"/>
          <w:b/>
          <w:bCs w:val="0"/>
          <w:kern w:val="0"/>
          <w:sz w:val="32"/>
          <w:szCs w:val="32"/>
          <w:highlight w:val="none"/>
          <w:lang w:eastAsia="zh-CN"/>
        </w:rPr>
        <w:t>（无）</w:t>
      </w:r>
      <w:r>
        <w:rPr>
          <w:rFonts w:hint="eastAsia" w:ascii="仿宋_GB2312" w:eastAsia="仿宋_GB2312" w:cs="仿宋_GB2312"/>
          <w:b/>
          <w:bCs w:val="0"/>
          <w:kern w:val="0"/>
          <w:sz w:val="32"/>
          <w:szCs w:val="32"/>
          <w:highlight w:val="none"/>
          <w:lang w:val="en-US" w:eastAsia="zh-CN"/>
        </w:rPr>
        <w:t xml:space="preserve">  </w:t>
      </w: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根据财政预算管理要求，</w:t>
      </w:r>
      <w:r>
        <w:rPr>
          <w:rFonts w:hint="eastAsia" w:ascii="仿宋_GB2312" w:eastAsia="仿宋_GB2312" w:cs="仿宋_GB2312"/>
          <w:kern w:val="0"/>
          <w:sz w:val="32"/>
          <w:szCs w:val="32"/>
        </w:rPr>
        <w:t>对照2020年初设定的绩效指标及指标值，</w:t>
      </w:r>
      <w:r>
        <w:rPr>
          <w:rFonts w:hint="eastAsia" w:ascii="仿宋_GB2312" w:eastAsia="仿宋_GB2312" w:cs="仿宋_GB2312"/>
          <w:bCs/>
          <w:kern w:val="0"/>
          <w:sz w:val="32"/>
          <w:szCs w:val="32"/>
        </w:rPr>
        <w:t>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组织对2020年度一般公共预算项目支出全面开展绩效自评</w:t>
      </w:r>
      <w:r>
        <w:rPr>
          <w:rFonts w:hint="eastAsia" w:ascii="仿宋_GB2312" w:eastAsia="仿宋_GB2312" w:cs="仿宋_GB2312"/>
          <w:kern w:val="0"/>
          <w:sz w:val="32"/>
          <w:szCs w:val="32"/>
        </w:rPr>
        <w:t>工作，确保绩效评价数据准确、分值设置合理、评价结果客观。我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对照评分标准逐项评价，收集和分析绩效执行信息，对未完成绩效目标及指标的原因进行逐条分析，研究解决措施，将绩效自评结果作为改进预算管理的重要依据。我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通过完整有效编制</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预算、不断加强预算执行力度和加强部门协作共同推进项目进度。</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2259.71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2259.71</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spacing w:line="580" w:lineRule="exact"/>
        <w:jc w:val="center"/>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B26435D8"/>
    <w:multiLevelType w:val="singleLevel"/>
    <w:tmpl w:val="B26435D8"/>
    <w:lvl w:ilvl="0" w:tentative="0">
      <w:start w:val="1"/>
      <w:numFmt w:val="chineseCounting"/>
      <w:suff w:val="nothing"/>
      <w:lvlText w:val="%1、"/>
      <w:lvlJc w:val="left"/>
      <w:rPr>
        <w:rFonts w:hint="eastAsia"/>
      </w:rPr>
    </w:lvl>
  </w:abstractNum>
  <w:abstractNum w:abstractNumId="2">
    <w:nsid w:val="2948F6B0"/>
    <w:multiLevelType w:val="singleLevel"/>
    <w:tmpl w:val="2948F6B0"/>
    <w:lvl w:ilvl="0" w:tentative="0">
      <w:start w:val="1"/>
      <w:numFmt w:val="chineseCounting"/>
      <w:suff w:val="nothing"/>
      <w:lvlText w:val="（%1）"/>
      <w:lvlJc w:val="left"/>
      <w:rPr>
        <w:rFonts w:hint="eastAsia"/>
      </w:rPr>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6F40CA"/>
    <w:rsid w:val="00715385"/>
    <w:rsid w:val="00F66C5B"/>
    <w:rsid w:val="052444D0"/>
    <w:rsid w:val="053F76E3"/>
    <w:rsid w:val="0B182438"/>
    <w:rsid w:val="0CA03E22"/>
    <w:rsid w:val="0DA86951"/>
    <w:rsid w:val="0DCC445C"/>
    <w:rsid w:val="0E074DDF"/>
    <w:rsid w:val="0F6F7714"/>
    <w:rsid w:val="124204B5"/>
    <w:rsid w:val="182962AB"/>
    <w:rsid w:val="19D073EB"/>
    <w:rsid w:val="1CC31F67"/>
    <w:rsid w:val="1D686E1E"/>
    <w:rsid w:val="21DA578A"/>
    <w:rsid w:val="24C95C2F"/>
    <w:rsid w:val="24D337DC"/>
    <w:rsid w:val="26460DBA"/>
    <w:rsid w:val="28401001"/>
    <w:rsid w:val="2AB239EA"/>
    <w:rsid w:val="2B6F74EB"/>
    <w:rsid w:val="2BB67DA1"/>
    <w:rsid w:val="2C4219FE"/>
    <w:rsid w:val="2E445D59"/>
    <w:rsid w:val="303A6C7E"/>
    <w:rsid w:val="34020F86"/>
    <w:rsid w:val="34A254E1"/>
    <w:rsid w:val="36657422"/>
    <w:rsid w:val="389A6950"/>
    <w:rsid w:val="39A63F06"/>
    <w:rsid w:val="39B56BE8"/>
    <w:rsid w:val="3AE46642"/>
    <w:rsid w:val="3ED1439F"/>
    <w:rsid w:val="3F205D7D"/>
    <w:rsid w:val="410852F6"/>
    <w:rsid w:val="410856D7"/>
    <w:rsid w:val="419C3474"/>
    <w:rsid w:val="43FA68F8"/>
    <w:rsid w:val="43FB244F"/>
    <w:rsid w:val="44500BF5"/>
    <w:rsid w:val="44BE2260"/>
    <w:rsid w:val="45BE5EAC"/>
    <w:rsid w:val="46C129AE"/>
    <w:rsid w:val="47C04A17"/>
    <w:rsid w:val="47C81416"/>
    <w:rsid w:val="48374EDC"/>
    <w:rsid w:val="4B9F7420"/>
    <w:rsid w:val="4C256E3D"/>
    <w:rsid w:val="4CB52F0F"/>
    <w:rsid w:val="4D67522A"/>
    <w:rsid w:val="4FC67B40"/>
    <w:rsid w:val="51167BAE"/>
    <w:rsid w:val="516A3599"/>
    <w:rsid w:val="51AF7995"/>
    <w:rsid w:val="523F0857"/>
    <w:rsid w:val="532F1F9A"/>
    <w:rsid w:val="53B062EF"/>
    <w:rsid w:val="53FC1729"/>
    <w:rsid w:val="56A856B0"/>
    <w:rsid w:val="598A6CA3"/>
    <w:rsid w:val="5CD22B47"/>
    <w:rsid w:val="5E81463A"/>
    <w:rsid w:val="5E995A3E"/>
    <w:rsid w:val="605456C0"/>
    <w:rsid w:val="62163194"/>
    <w:rsid w:val="624D024D"/>
    <w:rsid w:val="64D914A7"/>
    <w:rsid w:val="650E086A"/>
    <w:rsid w:val="66CE6B82"/>
    <w:rsid w:val="6891446C"/>
    <w:rsid w:val="690F0C44"/>
    <w:rsid w:val="6BAA0708"/>
    <w:rsid w:val="6CB41B3B"/>
    <w:rsid w:val="6E1C03A6"/>
    <w:rsid w:val="70185517"/>
    <w:rsid w:val="736E51D0"/>
    <w:rsid w:val="73E0589B"/>
    <w:rsid w:val="76125DF6"/>
    <w:rsid w:val="785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7049</Words>
  <Characters>10089</Characters>
  <Lines>60</Lines>
  <Paragraphs>17</Paragraphs>
  <TotalTime>17</TotalTime>
  <ScaleCrop>false</ScaleCrop>
  <LinksUpToDate>false</LinksUpToDate>
  <CharactersWithSpaces>10465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2022-09-10T13:11:13Z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BCC1030666794A6684C1AFB1CB40A035</vt:lpwstr>
  </property>
</Properties>
</file>