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柳州市第一中学</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（一）实施高中学历教育，促进基础教育发展</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（二）承办教育局等部门交办的其他事情</w:t>
      </w:r>
    </w:p>
    <w:p>
      <w:pPr>
        <w:ind w:firstLine="646"/>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sz w:val="32"/>
          <w:szCs w:val="32"/>
        </w:rPr>
      </w:pPr>
      <w:r>
        <w:rPr>
          <w:rFonts w:hint="eastAsia" w:ascii="仿宋_GB2312" w:hAnsi="黑体" w:eastAsia="仿宋_GB2312"/>
          <w:sz w:val="32"/>
          <w:szCs w:val="32"/>
        </w:rPr>
        <w:t>柳州市第一中学</w:t>
      </w:r>
      <w:r>
        <w:rPr>
          <w:rFonts w:ascii="仿宋_GB2312" w:hAnsi="黑体" w:eastAsia="仿宋_GB2312"/>
          <w:sz w:val="32"/>
          <w:szCs w:val="32"/>
        </w:rPr>
        <w:t>为教育局管理的公益二类全额拨款事业单位。现持有柳州市事业单位登记管理局颁发的《事业单位法人证书》，统一社会信用代码为12450200498596840K，地址为广西柳州市</w:t>
      </w:r>
      <w:r>
        <w:rPr>
          <w:rFonts w:hint="eastAsia" w:ascii="仿宋_GB2312" w:hAnsi="黑体" w:eastAsia="仿宋_GB2312"/>
          <w:sz w:val="32"/>
          <w:szCs w:val="32"/>
        </w:rPr>
        <w:t>香桥路199</w:t>
      </w:r>
      <w:r>
        <w:rPr>
          <w:rFonts w:ascii="仿宋_GB2312" w:hAnsi="黑体" w:eastAsia="仿宋_GB2312"/>
          <w:sz w:val="32"/>
          <w:szCs w:val="32"/>
        </w:rPr>
        <w:t>号，</w:t>
      </w:r>
      <w:r>
        <w:rPr>
          <w:rFonts w:hint="eastAsia" w:ascii="仿宋_GB2312" w:hAnsi="黑体" w:eastAsia="仿宋_GB2312"/>
          <w:sz w:val="32"/>
          <w:szCs w:val="32"/>
          <w:lang w:val="en-US" w:eastAsia="zh-CN"/>
        </w:rPr>
        <w:t>法定代表人</w:t>
      </w:r>
      <w:bookmarkStart w:id="0" w:name="_GoBack"/>
      <w:bookmarkEnd w:id="0"/>
      <w:r>
        <w:rPr>
          <w:rFonts w:ascii="仿宋_GB2312" w:hAnsi="黑体" w:eastAsia="仿宋_GB2312"/>
          <w:sz w:val="32"/>
          <w:szCs w:val="32"/>
        </w:rPr>
        <w:t>为</w:t>
      </w:r>
      <w:r>
        <w:rPr>
          <w:rFonts w:hint="eastAsia" w:ascii="仿宋_GB2312" w:hAnsi="黑体" w:eastAsia="仿宋_GB2312"/>
          <w:sz w:val="32"/>
          <w:szCs w:val="32"/>
        </w:rPr>
        <w:t>原敏</w:t>
      </w:r>
      <w:r>
        <w:rPr>
          <w:rFonts w:ascii="仿宋_GB2312" w:hAnsi="黑体" w:eastAsia="仿宋_GB2312"/>
          <w:sz w:val="32"/>
          <w:szCs w:val="32"/>
        </w:rPr>
        <w:t>，经费来源为全额拨款，现有教学班级</w:t>
      </w:r>
      <w:r>
        <w:rPr>
          <w:rFonts w:hint="eastAsia" w:ascii="仿宋_GB2312" w:hAnsi="黑体" w:eastAsia="仿宋_GB2312"/>
          <w:sz w:val="32"/>
          <w:szCs w:val="32"/>
        </w:rPr>
        <w:t>77</w:t>
      </w:r>
      <w:r>
        <w:rPr>
          <w:rFonts w:ascii="仿宋_GB2312" w:hAnsi="黑体" w:eastAsia="仿宋_GB2312"/>
          <w:sz w:val="32"/>
          <w:szCs w:val="32"/>
        </w:rPr>
        <w:t>个班级，实名编制人员</w:t>
      </w:r>
      <w:r>
        <w:rPr>
          <w:rFonts w:hint="eastAsia" w:ascii="仿宋_GB2312" w:hAnsi="黑体" w:eastAsia="仿宋_GB2312"/>
          <w:sz w:val="32"/>
          <w:szCs w:val="32"/>
        </w:rPr>
        <w:t>264</w:t>
      </w:r>
      <w:r>
        <w:rPr>
          <w:rFonts w:ascii="仿宋_GB2312" w:hAnsi="黑体" w:eastAsia="仿宋_GB2312"/>
          <w:sz w:val="32"/>
          <w:szCs w:val="32"/>
        </w:rPr>
        <w:t>人，聘用控制数教师</w:t>
      </w:r>
      <w:r>
        <w:rPr>
          <w:rFonts w:hint="eastAsia" w:ascii="仿宋_GB2312" w:hAnsi="黑体" w:eastAsia="仿宋_GB2312"/>
          <w:sz w:val="32"/>
          <w:szCs w:val="32"/>
        </w:rPr>
        <w:t>42</w:t>
      </w:r>
      <w:r>
        <w:rPr>
          <w:rFonts w:ascii="仿宋_GB2312" w:hAnsi="黑体" w:eastAsia="仿宋_GB2312"/>
          <w:sz w:val="32"/>
          <w:szCs w:val="32"/>
        </w:rPr>
        <w:t>人，年末学生人数</w:t>
      </w:r>
      <w:r>
        <w:rPr>
          <w:rFonts w:hint="eastAsia" w:ascii="仿宋_GB2312" w:hAnsi="黑体" w:eastAsia="仿宋_GB2312"/>
          <w:sz w:val="32"/>
          <w:szCs w:val="32"/>
        </w:rPr>
        <w:t>4443</w:t>
      </w:r>
      <w:r>
        <w:rPr>
          <w:rFonts w:ascii="仿宋_GB2312" w:hAnsi="黑体" w:eastAsia="仿宋_GB2312"/>
          <w:sz w:val="32"/>
          <w:szCs w:val="32"/>
        </w:rPr>
        <w:t>人，学校执行《政府会计制度》。</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ascii="仿宋_GB2312" w:hAnsi="黑体" w:eastAsia="仿宋_GB2312"/>
          <w:sz w:val="32"/>
          <w:szCs w:val="32"/>
        </w:rPr>
        <w:t>学校内设</w:t>
      </w:r>
      <w:r>
        <w:rPr>
          <w:rFonts w:hint="eastAsia" w:ascii="仿宋_GB2312" w:hAnsi="黑体" w:eastAsia="仿宋_GB2312"/>
          <w:sz w:val="32"/>
          <w:szCs w:val="32"/>
        </w:rPr>
        <w:t>10</w:t>
      </w:r>
      <w:r>
        <w:rPr>
          <w:rFonts w:ascii="仿宋_GB2312" w:hAnsi="黑体" w:eastAsia="仿宋_GB2312"/>
          <w:sz w:val="32"/>
          <w:szCs w:val="32"/>
        </w:rPr>
        <w:t>个科室，分别为:党办、校办、视导室、教务处、政教处、科研处、总务处、</w:t>
      </w:r>
      <w:r>
        <w:rPr>
          <w:rFonts w:hint="eastAsia" w:ascii="仿宋_GB2312" w:hAnsi="黑体" w:eastAsia="仿宋_GB2312"/>
          <w:sz w:val="32"/>
          <w:szCs w:val="32"/>
        </w:rPr>
        <w:t>安保处、</w:t>
      </w:r>
      <w:r>
        <w:rPr>
          <w:rFonts w:ascii="仿宋_GB2312" w:hAnsi="黑体" w:eastAsia="仿宋_GB2312"/>
          <w:sz w:val="32"/>
          <w:szCs w:val="32"/>
        </w:rPr>
        <w:t>团委</w:t>
      </w:r>
      <w:r>
        <w:rPr>
          <w:rFonts w:hint="eastAsia" w:ascii="仿宋_GB2312" w:hAnsi="黑体" w:eastAsia="仿宋_GB2312"/>
          <w:sz w:val="32"/>
          <w:szCs w:val="32"/>
        </w:rPr>
        <w:t>、</w:t>
      </w:r>
      <w:r>
        <w:rPr>
          <w:rFonts w:ascii="仿宋_GB2312" w:hAnsi="黑体" w:eastAsia="仿宋_GB2312"/>
          <w:sz w:val="32"/>
          <w:szCs w:val="32"/>
        </w:rPr>
        <w:t>工会</w:t>
      </w:r>
      <w:r>
        <w:rPr>
          <w:rFonts w:hint="eastAsia" w:ascii="仿宋_GB2312" w:hAnsi="黑体" w:eastAsia="仿宋_GB2312"/>
          <w:sz w:val="32"/>
          <w:szCs w:val="32"/>
        </w:rPr>
        <w:t>。</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 xml:space="preserve"> 2020年部门决算报表</w:t>
      </w:r>
    </w:p>
    <w:tbl>
      <w:tblPr>
        <w:tblStyle w:val="6"/>
        <w:tblW w:w="9940" w:type="dxa"/>
        <w:jc w:val="center"/>
        <w:tblLayout w:type="fixed"/>
        <w:tblCellMar>
          <w:top w:w="0" w:type="dxa"/>
          <w:left w:w="108" w:type="dxa"/>
          <w:bottom w:w="0" w:type="dxa"/>
          <w:right w:w="108" w:type="dxa"/>
        </w:tblCellMar>
      </w:tblPr>
      <w:tblGrid>
        <w:gridCol w:w="4042"/>
        <w:gridCol w:w="1179"/>
        <w:gridCol w:w="3434"/>
        <w:gridCol w:w="109"/>
        <w:gridCol w:w="1176"/>
      </w:tblGrid>
      <w:tr>
        <w:tblPrEx>
          <w:tblCellMar>
            <w:top w:w="0" w:type="dxa"/>
            <w:left w:w="108" w:type="dxa"/>
            <w:bottom w:w="0" w:type="dxa"/>
            <w:right w:w="108" w:type="dxa"/>
          </w:tblCellMar>
        </w:tblPrEx>
        <w:trPr>
          <w:gridAfter w:val="2"/>
          <w:wAfter w:w="1285" w:type="dxa"/>
          <w:trHeight w:val="570" w:hRule="atLeast"/>
          <w:jc w:val="center"/>
        </w:trPr>
        <w:tc>
          <w:tcPr>
            <w:tcW w:w="8655" w:type="dxa"/>
            <w:gridSpan w:val="3"/>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308" w:hRule="atLeast"/>
          <w:jc w:val="center"/>
        </w:trPr>
        <w:tc>
          <w:tcPr>
            <w:tcW w:w="52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收入</w:t>
            </w:r>
          </w:p>
        </w:tc>
        <w:tc>
          <w:tcPr>
            <w:tcW w:w="4719"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5,440.19</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三、国有资本经营预算财政拨款收入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四、上级补助收入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五、事业收入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672.27</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6,849.12</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六、经营收入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七、附属单位上缴收入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八、其他收入</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4.46</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十四、资源勘探工业信息等支出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r>
      <w:tr>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二十一、国有资本经营预算支出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二十二、灾害防治及应急管理支出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二十三、其他支出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二十四、债务还本支出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二十五、债务付息支出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二十六、抗疫特别国债安排的支出</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6,116.92</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7,093.32</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使用非财政拨款结余</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166.54</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结余分配</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940.51</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年末结转和结余</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130.66</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404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1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7,223.98</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1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7,223.98</w:t>
            </w:r>
          </w:p>
        </w:tc>
      </w:tr>
    </w:tbl>
    <w:p>
      <w:pPr>
        <w:jc w:val="center"/>
        <w:rPr>
          <w:rFonts w:ascii="方正小标宋简体" w:hAnsi="宋体" w:eastAsia="方正小标宋简体" w:cs="宋体"/>
          <w:kern w:val="0"/>
          <w:sz w:val="36"/>
          <w:szCs w:val="36"/>
        </w:rPr>
      </w:pPr>
    </w:p>
    <w:p>
      <w:pPr>
        <w:widowControl/>
        <w:jc w:val="left"/>
        <w:rPr>
          <w:rFonts w:ascii="方正小标宋简体" w:hAnsi="宋体" w:eastAsia="方正小标宋简体" w:cs="宋体"/>
          <w:kern w:val="0"/>
          <w:sz w:val="36"/>
          <w:szCs w:val="36"/>
        </w:rPr>
        <w:sectPr>
          <w:footerReference r:id="rId3" w:type="default"/>
          <w:footerReference r:id="rId4" w:type="even"/>
          <w:pgSz w:w="11906" w:h="16838"/>
          <w:pgMar w:top="1440" w:right="1797" w:bottom="1440" w:left="1377" w:header="851" w:footer="992" w:gutter="0"/>
          <w:pgNumType w:fmt="numberInDash"/>
          <w:cols w:space="720" w:num="1"/>
          <w:docGrid w:type="lines" w:linePitch="312" w:charSpace="0"/>
        </w:sectPr>
      </w:pPr>
    </w:p>
    <w:p>
      <w:pPr>
        <w:widowControl/>
        <w:jc w:val="left"/>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4050" w:type="dxa"/>
        <w:tblInd w:w="92" w:type="dxa"/>
        <w:tblLayout w:type="autofit"/>
        <w:tblCellMar>
          <w:top w:w="0" w:type="dxa"/>
          <w:left w:w="108" w:type="dxa"/>
          <w:bottom w:w="0" w:type="dxa"/>
          <w:right w:w="108" w:type="dxa"/>
        </w:tblCellMar>
      </w:tblPr>
      <w:tblGrid>
        <w:gridCol w:w="1020"/>
        <w:gridCol w:w="2360"/>
        <w:gridCol w:w="1600"/>
        <w:gridCol w:w="1600"/>
        <w:gridCol w:w="1580"/>
        <w:gridCol w:w="1300"/>
        <w:gridCol w:w="1460"/>
        <w:gridCol w:w="1854"/>
        <w:gridCol w:w="1276"/>
      </w:tblGrid>
      <w:tr>
        <w:tblPrEx>
          <w:tblCellMar>
            <w:top w:w="0" w:type="dxa"/>
            <w:left w:w="108" w:type="dxa"/>
            <w:bottom w:w="0" w:type="dxa"/>
            <w:right w:w="108" w:type="dxa"/>
          </w:tblCellMar>
        </w:tblPrEx>
        <w:trPr>
          <w:trHeight w:val="308" w:hRule="atLeast"/>
        </w:trPr>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5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13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4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85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6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38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8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308" w:hRule="atLeast"/>
        </w:trPr>
        <w:tc>
          <w:tcPr>
            <w:tcW w:w="338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6,116.92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5,440.19</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672.27</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4.46</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5,874.52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5,197.79</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672.27</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4.46</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5,874.52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5,197.79</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672.27</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4.46</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2050204</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高中教育</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5,734.52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5,057.79</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672.27</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4.46</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140.00</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140.00</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p>
        </w:tc>
        <w:tc>
          <w:tcPr>
            <w:tcW w:w="2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4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8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p>
        </w:tc>
      </w:tr>
    </w:tbl>
    <w:p/>
    <w:p>
      <w:r>
        <w:rPr>
          <w:rFonts w:hint="eastAsia"/>
        </w:rPr>
        <w:t>注：本表反映部门本年度取得的各项收入情况。</w:t>
      </w:r>
    </w:p>
    <w:p/>
    <w:p/>
    <w:p/>
    <w:p>
      <w:pPr>
        <w:jc w:val="center"/>
      </w:pPr>
      <w:r>
        <w:rPr>
          <w:rFonts w:hint="eastAsia" w:ascii="方正小标宋简体" w:hAnsi="宋体" w:eastAsia="方正小标宋简体" w:cs="宋体"/>
          <w:kern w:val="0"/>
          <w:sz w:val="36"/>
          <w:szCs w:val="36"/>
        </w:rPr>
        <w:t>表三：支出决算表</w:t>
      </w:r>
    </w:p>
    <w:p>
      <w:pPr>
        <w:jc w:val="center"/>
      </w:pPr>
      <w:r>
        <w:rPr>
          <w:rFonts w:hint="eastAsia"/>
          <w:sz w:val="22"/>
          <w:szCs w:val="22"/>
        </w:rPr>
        <w:t xml:space="preserve">                                                                                                                  单位：万元</w:t>
      </w:r>
    </w:p>
    <w:tbl>
      <w:tblPr>
        <w:tblStyle w:val="6"/>
        <w:tblW w:w="13731" w:type="dxa"/>
        <w:jc w:val="center"/>
        <w:tblLayout w:type="autofit"/>
        <w:tblCellMar>
          <w:top w:w="0" w:type="dxa"/>
          <w:left w:w="108" w:type="dxa"/>
          <w:bottom w:w="0" w:type="dxa"/>
          <w:right w:w="108" w:type="dxa"/>
        </w:tblCellMar>
      </w:tblPr>
      <w:tblGrid>
        <w:gridCol w:w="1416"/>
        <w:gridCol w:w="2600"/>
        <w:gridCol w:w="1600"/>
        <w:gridCol w:w="1780"/>
        <w:gridCol w:w="1515"/>
        <w:gridCol w:w="1664"/>
        <w:gridCol w:w="1029"/>
        <w:gridCol w:w="2127"/>
      </w:tblGrid>
      <w:tr>
        <w:tblPrEx>
          <w:tblCellMar>
            <w:top w:w="0" w:type="dxa"/>
            <w:left w:w="108" w:type="dxa"/>
            <w:bottom w:w="0" w:type="dxa"/>
            <w:right w:w="108" w:type="dxa"/>
          </w:tblCellMar>
        </w:tblPrEx>
        <w:trPr>
          <w:trHeight w:val="308" w:hRule="atLeast"/>
          <w:jc w:val="center"/>
        </w:trPr>
        <w:tc>
          <w:tcPr>
            <w:tcW w:w="4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1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6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02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12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jc w:val="center"/>
        </w:trPr>
        <w:tc>
          <w:tcPr>
            <w:tcW w:w="14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60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01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1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01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7,093.32</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7,093.32</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6,849.12</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6,849.12</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6,849.12</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6,849.12</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2050204</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高中教育</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6,779.68</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6,779.68</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69.44</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69.44</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事业单位离退休</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 xml:space="preserve"> 注：本表反映部门本年度各项支出情况。</w:t>
      </w:r>
    </w:p>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2100" w:firstLineChars="1000"/>
        <w:jc w:val="right"/>
      </w:pPr>
      <w:r>
        <w:rPr>
          <w:rFonts w:hint="eastAsia"/>
        </w:rPr>
        <w:t>单位：万元</w:t>
      </w:r>
    </w:p>
    <w:tbl>
      <w:tblPr>
        <w:tblStyle w:val="6"/>
        <w:tblW w:w="14720" w:type="dxa"/>
        <w:jc w:val="center"/>
        <w:tblLayout w:type="autofit"/>
        <w:tblCellMar>
          <w:top w:w="0" w:type="dxa"/>
          <w:left w:w="108" w:type="dxa"/>
          <w:bottom w:w="0" w:type="dxa"/>
          <w:right w:w="108" w:type="dxa"/>
        </w:tblCellMar>
      </w:tblPr>
      <w:tblGrid>
        <w:gridCol w:w="3280"/>
        <w:gridCol w:w="1680"/>
        <w:gridCol w:w="4429"/>
        <w:gridCol w:w="1155"/>
        <w:gridCol w:w="1641"/>
        <w:gridCol w:w="1236"/>
        <w:gridCol w:w="1299"/>
      </w:tblGrid>
      <w:tr>
        <w:tblPrEx>
          <w:tblCellMar>
            <w:top w:w="0" w:type="dxa"/>
            <w:left w:w="108" w:type="dxa"/>
            <w:bottom w:w="0" w:type="dxa"/>
            <w:right w:w="108" w:type="dxa"/>
          </w:tblCellMar>
        </w:tblPrEx>
        <w:trPr>
          <w:trHeight w:val="308" w:hRule="atLeast"/>
          <w:jc w:val="center"/>
        </w:trPr>
        <w:tc>
          <w:tcPr>
            <w:tcW w:w="4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     入</w:t>
            </w:r>
          </w:p>
        </w:tc>
        <w:tc>
          <w:tcPr>
            <w:tcW w:w="9760"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     出</w:t>
            </w:r>
          </w:p>
        </w:tc>
      </w:tr>
      <w:tr>
        <w:tblPrEx>
          <w:tblCellMar>
            <w:top w:w="0" w:type="dxa"/>
            <w:left w:w="108" w:type="dxa"/>
            <w:bottom w:w="0" w:type="dxa"/>
            <w:right w:w="108" w:type="dxa"/>
          </w:tblCellMar>
        </w:tblPrEx>
        <w:trPr>
          <w:trHeight w:val="312" w:hRule="atLeast"/>
          <w:jc w:val="center"/>
        </w:trPr>
        <w:tc>
          <w:tcPr>
            <w:tcW w:w="32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44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5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4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一般公共预算财政拨款</w:t>
            </w:r>
          </w:p>
        </w:tc>
        <w:tc>
          <w:tcPr>
            <w:tcW w:w="123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c>
          <w:tcPr>
            <w:tcW w:w="12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国有资本经营预算财政拨款</w:t>
            </w:r>
          </w:p>
        </w:tc>
      </w:tr>
      <w:tr>
        <w:tblPrEx>
          <w:tblCellMar>
            <w:top w:w="0" w:type="dxa"/>
            <w:left w:w="108" w:type="dxa"/>
            <w:bottom w:w="0" w:type="dxa"/>
            <w:right w:w="108" w:type="dxa"/>
          </w:tblCellMar>
        </w:tblPrEx>
        <w:trPr>
          <w:trHeight w:val="615" w:hRule="atLeast"/>
          <w:jc w:val="center"/>
        </w:trPr>
        <w:tc>
          <w:tcPr>
            <w:tcW w:w="3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4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4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5,440.19</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三、国有资本经营财政拨款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6,005.84</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6,005.84</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233.76</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十四、资源勘探工业信息等支出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十八、自然资源海洋气象等支出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8.64</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二十一、国有资本经营预算支出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二十二、灾害防治及应急管理支出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二十三、其他支出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二十四、债务还本支出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二十五、债务付息支出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二十六、抗疫特别国债安排的支出</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5,440.19</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6,250.04</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6,250.04</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940.51</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130.66</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130.66</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一般公共预算财政拨款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940.51</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政府性基金预算财政拨款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国有资本经营预算财政拨款</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32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6,380.70</w:t>
            </w:r>
          </w:p>
        </w:tc>
        <w:tc>
          <w:tcPr>
            <w:tcW w:w="44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6,380.70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6,380.70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6"/>
        <w:tblW w:w="11740" w:type="dxa"/>
        <w:jc w:val="center"/>
        <w:tblLayout w:type="autofit"/>
        <w:tblCellMar>
          <w:top w:w="0" w:type="dxa"/>
          <w:left w:w="108" w:type="dxa"/>
          <w:bottom w:w="0" w:type="dxa"/>
          <w:right w:w="108" w:type="dxa"/>
        </w:tblCellMar>
      </w:tblPr>
      <w:tblGrid>
        <w:gridCol w:w="1020"/>
        <w:gridCol w:w="3940"/>
        <w:gridCol w:w="2260"/>
        <w:gridCol w:w="2260"/>
        <w:gridCol w:w="2260"/>
      </w:tblGrid>
      <w:tr>
        <w:tblPrEx>
          <w:tblCellMar>
            <w:top w:w="0" w:type="dxa"/>
            <w:left w:w="108" w:type="dxa"/>
            <w:bottom w:w="0" w:type="dxa"/>
            <w:right w:w="108" w:type="dxa"/>
          </w:tblCellMar>
        </w:tblPrEx>
        <w:trPr>
          <w:trHeight w:val="308" w:hRule="atLeast"/>
          <w:jc w:val="center"/>
        </w:trPr>
        <w:tc>
          <w:tcPr>
            <w:tcW w:w="4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项目</w:t>
            </w:r>
          </w:p>
        </w:tc>
        <w:tc>
          <w:tcPr>
            <w:tcW w:w="678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本年支出</w:t>
            </w:r>
          </w:p>
        </w:tc>
      </w:tr>
      <w:tr>
        <w:tblPrEx>
          <w:tblCellMar>
            <w:top w:w="0" w:type="dxa"/>
            <w:left w:w="108" w:type="dxa"/>
            <w:bottom w:w="0" w:type="dxa"/>
            <w:right w:w="108" w:type="dxa"/>
          </w:tblCellMar>
        </w:tblPrEx>
        <w:trPr>
          <w:trHeight w:val="312" w:hRule="atLeast"/>
          <w:jc w:val="center"/>
        </w:trPr>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功能分类科目编码</w:t>
            </w:r>
          </w:p>
        </w:tc>
        <w:tc>
          <w:tcPr>
            <w:tcW w:w="3940" w:type="dxa"/>
            <w:vMerge w:val="restart"/>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trHeight w:val="312" w:hRule="atLeast"/>
          <w:jc w:val="center"/>
        </w:trPr>
        <w:tc>
          <w:tcPr>
            <w:tcW w:w="1020"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94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12" w:hRule="atLeast"/>
          <w:jc w:val="center"/>
        </w:trPr>
        <w:tc>
          <w:tcPr>
            <w:tcW w:w="1020"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94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226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jc w:val="center"/>
        </w:trPr>
        <w:tc>
          <w:tcPr>
            <w:tcW w:w="496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栏次</w:t>
            </w:r>
          </w:p>
        </w:tc>
        <w:tc>
          <w:tcPr>
            <w:tcW w:w="226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1</w:t>
            </w:r>
          </w:p>
        </w:tc>
        <w:tc>
          <w:tcPr>
            <w:tcW w:w="226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2</w:t>
            </w:r>
          </w:p>
        </w:tc>
        <w:tc>
          <w:tcPr>
            <w:tcW w:w="226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3</w:t>
            </w:r>
          </w:p>
        </w:tc>
      </w:tr>
      <w:tr>
        <w:tblPrEx>
          <w:tblCellMar>
            <w:top w:w="0" w:type="dxa"/>
            <w:left w:w="108" w:type="dxa"/>
            <w:bottom w:w="0" w:type="dxa"/>
            <w:right w:w="108" w:type="dxa"/>
          </w:tblCellMar>
        </w:tblPrEx>
        <w:trPr>
          <w:trHeight w:val="308" w:hRule="atLeast"/>
          <w:jc w:val="center"/>
        </w:trPr>
        <w:tc>
          <w:tcPr>
            <w:tcW w:w="496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22"/>
                <w:szCs w:val="22"/>
              </w:rPr>
            </w:pPr>
            <w:r>
              <w:rPr>
                <w:rFonts w:hint="eastAsia" w:cs="Arial"/>
                <w:color w:val="000000"/>
                <w:sz w:val="22"/>
                <w:szCs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szCs w:val="22"/>
              </w:rPr>
            </w:pPr>
            <w:r>
              <w:rPr>
                <w:rFonts w:hint="eastAsia" w:cs="Arial"/>
                <w:b/>
                <w:bCs/>
                <w:color w:val="000000"/>
                <w:sz w:val="22"/>
                <w:szCs w:val="22"/>
              </w:rPr>
              <w:t>6,250.04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szCs w:val="22"/>
              </w:rPr>
            </w:pPr>
            <w:r>
              <w:rPr>
                <w:rFonts w:hint="eastAsia" w:cs="Arial"/>
                <w:b/>
                <w:bCs/>
                <w:color w:val="000000"/>
                <w:sz w:val="22"/>
                <w:szCs w:val="22"/>
              </w:rPr>
              <w:t>6,250.04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205</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教育支出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6,005.84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6,005.84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普通教育</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6,005.84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6,005.84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2050204</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xml:space="preserve">  高中教育</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5,936.40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5,936.40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2050299</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xml:space="preserve">  其他普通教育支出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69.44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69.44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208</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行政事业单位养老支出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2080502</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1.80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210</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卫生健康支出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行政事业单位医疗</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233.76</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221</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住房保障支出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22102</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住房改革支出</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2210203</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8.64</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w:t>
            </w:r>
          </w:p>
        </w:tc>
        <w:tc>
          <w:tcPr>
            <w:tcW w:w="394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22"/>
                <w:szCs w:val="22"/>
              </w:rPr>
            </w:pPr>
            <w:r>
              <w:rPr>
                <w:rFonts w:hint="eastAsia" w:cs="Arial"/>
                <w:color w:val="000000"/>
                <w:sz w:val="22"/>
                <w:szCs w:val="22"/>
              </w:rPr>
              <w:t>　</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　</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　</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22"/>
                <w:szCs w:val="22"/>
              </w:rPr>
            </w:pPr>
            <w:r>
              <w:rPr>
                <w:rFonts w:hint="eastAsia" w:cs="Arial"/>
                <w:color w:val="000000"/>
                <w:sz w:val="22"/>
                <w:szCs w:val="22"/>
              </w:rPr>
              <w:t>　</w:t>
            </w:r>
          </w:p>
        </w:tc>
      </w:tr>
    </w:tbl>
    <w:p/>
    <w:p>
      <w:r>
        <w:rPr>
          <w:rFonts w:hint="eastAsia"/>
        </w:rPr>
        <w:t>注：本表反映部门本年度一般公共预算财政拨款实际支出情况。</w:t>
      </w:r>
    </w:p>
    <w:p/>
    <w:p/>
    <w:p>
      <w:pPr>
        <w:sectPr>
          <w:pgSz w:w="16838" w:h="11906" w:orient="landscape"/>
          <w:pgMar w:top="1378" w:right="1440" w:bottom="1797" w:left="1440" w:header="851" w:footer="992" w:gutter="0"/>
          <w:pgNumType w:fmt="numberInDash"/>
          <w:cols w:space="720" w:num="1"/>
          <w:docGrid w:type="linesAndChar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15618" w:type="dxa"/>
        <w:jc w:val="center"/>
        <w:tblLayout w:type="autofit"/>
        <w:tblCellMar>
          <w:top w:w="0" w:type="dxa"/>
          <w:left w:w="108" w:type="dxa"/>
          <w:bottom w:w="0" w:type="dxa"/>
          <w:right w:w="108" w:type="dxa"/>
        </w:tblCellMar>
      </w:tblPr>
      <w:tblGrid>
        <w:gridCol w:w="766"/>
        <w:gridCol w:w="3520"/>
        <w:gridCol w:w="1160"/>
        <w:gridCol w:w="766"/>
        <w:gridCol w:w="2380"/>
        <w:gridCol w:w="900"/>
        <w:gridCol w:w="766"/>
        <w:gridCol w:w="4360"/>
        <w:gridCol w:w="1000"/>
      </w:tblGrid>
      <w:tr>
        <w:tblPrEx>
          <w:tblCellMar>
            <w:top w:w="0" w:type="dxa"/>
            <w:left w:w="108" w:type="dxa"/>
            <w:bottom w:w="0" w:type="dxa"/>
            <w:right w:w="108" w:type="dxa"/>
          </w:tblCellMar>
        </w:tblPrEx>
        <w:trPr>
          <w:trHeight w:val="308" w:hRule="atLeast"/>
          <w:jc w:val="center"/>
        </w:trPr>
        <w:tc>
          <w:tcPr>
            <w:tcW w:w="54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10172"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3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3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43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5,456.57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506.64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债务利息及费用支出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基本工资</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1,369.98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269.71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30701</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国内债务付息</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津贴补贴</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印刷费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30702</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国外债务付息</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咨询费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117.37</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伙食补助费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手续费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31001</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房屋建筑物购建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绩效工资</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2,444.82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水费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29.90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办公设备购置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487.37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电费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9.51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专用设备购置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106.35</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职业年金缴费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243.64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邮电费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31005</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基础设施建设</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职工基本医疗保险缴费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200.20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取暖费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31006</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大型修缮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207.75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物业管理费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31007</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信息网络及软件购置更新</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其他社会保障缴费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21.51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差旅费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31008</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物资储备</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398.11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因公出国（境）费用</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31009</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土地补偿</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维修（护）费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31010</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安置补助</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其他工资福利支出</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79.27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租赁费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31011</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地上附着物和青苗补偿</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169.46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会议费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31012</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拆迁补偿</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离休费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14.79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培训费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31013</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退休费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53.65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公务接待费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31019</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其他交通工具购置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退职（役）费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专用材料费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31021</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文物和陈列品购置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抚恤金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被装购置费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31022</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无形资产购置</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生活补助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专用燃料费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31099</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其他资本性支出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11.03</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救济费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劳务费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委托业务费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39906</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赠与</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助学金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44.78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工会经费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39907</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国家赔偿费用支出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奖励金</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福利费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39908</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对民间非营利组织和群众性自治组织补贴</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个人农业生产补贴</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公务用车运行维护费</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39999</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代缴社会保险费</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其他交通费用</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35.67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其他对个人和家庭的补助</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49.33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税金及附加费用</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3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其他商品和服务支出</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96.04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428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5,626.03</w:t>
            </w:r>
          </w:p>
        </w:tc>
        <w:tc>
          <w:tcPr>
            <w:tcW w:w="9172"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624.02</w:t>
            </w:r>
          </w:p>
        </w:tc>
      </w:tr>
    </w:tbl>
    <w:p/>
    <w:p>
      <w:pPr>
        <w:sectPr>
          <w:pgSz w:w="16838" w:h="11906" w:orient="landscape"/>
          <w:pgMar w:top="1378" w:right="1440" w:bottom="1797" w:left="1440" w:header="851" w:footer="992" w:gutter="0"/>
          <w:pgNumType w:fmt="numberInDash"/>
          <w:cols w:space="720" w:num="1"/>
          <w:docGrid w:type="linesAndChar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sectPr>
          <w:pgSz w:w="16838" w:h="11906" w:orient="landscape"/>
          <w:pgMar w:top="1378" w:right="1440" w:bottom="1797" w:left="1440" w:header="851" w:footer="992" w:gutter="0"/>
          <w:pgNumType w:fmt="numberInDash"/>
          <w:cols w:space="720" w:num="1"/>
          <w:docGrid w:type="linesAndChars" w:linePitch="312" w:charSpace="0"/>
        </w:sectPr>
      </w:pPr>
      <w:r>
        <w:rPr>
          <w:rFonts w:hint="eastAsia"/>
        </w:rPr>
        <w:t>柳州市第一中学为事业单位，不在一般公共预算资金中安排“三公”经费，故本表无数据。</w:t>
      </w:r>
    </w:p>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pPr>
      <w:r>
        <w:rPr>
          <w:rFonts w:hint="eastAsia"/>
        </w:rPr>
        <w:t>柳州市第一中学没有政府性基金预算财政拨款收入，也没有政府性基金预算财政拨款收入安排的支出，故本表无数据。</w:t>
      </w:r>
    </w:p>
    <w:p>
      <w:pPr>
        <w:spacing w:line="560" w:lineRule="exact"/>
        <w:ind w:firstLine="420"/>
      </w:pPr>
    </w:p>
    <w:p>
      <w:pPr>
        <w:spacing w:line="560" w:lineRule="exact"/>
        <w:ind w:firstLine="420"/>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 xml:space="preserve">   </w:t>
            </w:r>
            <w:r>
              <w:rPr>
                <w:rStyle w:val="11"/>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bl>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widowControl/>
        <w:jc w:val="left"/>
        <w:textAlignment w:val="center"/>
        <w:sectPr>
          <w:pgSz w:w="16838" w:h="11906" w:orient="landscape"/>
          <w:pgMar w:top="1378" w:right="1440" w:bottom="1797" w:left="1440" w:header="851" w:footer="992" w:gutter="0"/>
          <w:pgNumType w:fmt="numberInDash"/>
          <w:cols w:space="720" w:num="1"/>
          <w:docGrid w:type="linesAndChars" w:linePitch="312" w:charSpace="0"/>
        </w:sectPr>
      </w:pPr>
      <w:r>
        <w:rPr>
          <w:rFonts w:hint="eastAsia"/>
        </w:rPr>
        <w:t>柳州市第一中学没有国有资本经营预算财政拨款收入，也没有国有资本经营预算财政拨款收入安排的支出，故本表无数据。</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柳州市第一中学</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2020年度收入总计6116.92万元，支出总计7093.32万元，与2019年相比，收、支分别增加689.14万元和2019.03万元；分别增长12.69%和39.79%</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本年收入总计6116.92万元，其中：一般公共预算财政拨款收入5440.19万元；占比88.94% ；事业收入672.27万元，占比10.99% ；其他收入4.46万元，占比0.07%。</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本年支出合计7093.32万元，其中：基本支出 7093.32万元，占 100%。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5440.19万元、6250.04万元。与 2019 年相比，财政拨款收、支总计各增加644.55万元和1834.88万元，增长13.44%和41.56%。</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2020年度财政拨款支出6250.04万元，占本年支出合计的 97.95%。与 2019 年相比，财政拨款支出增加1834.88万元，增加41.56%。</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年度财政拨款支出6250.04万元，主要用于以下方面： 教育（类）支出6005.84万元，占 96.09%；社会保障和就业（类）支出1.8万元，占 0.03%；卫生健康（类） 支出233.76万元，占 3.74%；住房保障（类）支出8.64万元，占 0.14%0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6380.7万元，支出决算为6250.04万元，完成年初预算的 97.52%。决算数大于预算数的主要原因：一是年中追加安排财政拨款支出预算，涉及项目有教育支出、卫生健康支出、住房保障支出；二是部分支出按规定，通过使用以前年度财政拨款结转资金解决。其中：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1.205（类）02（款）04（项）高中教育， 年初预算为5996.5万元，支出决算为5936.4万元，完 成年初预算的 98.99%。决算数小于预算数的主要原因是有部分资金下达较晚来不及支付。</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 205（类）02（款）99（项）其他普通教育支出，年初预算为 0万元，支出决算为 69.44万元，完成年初预算的49.6 %。决算数小于预算数的主要原因是有部分资金为质保金需要在下一年度才能支付 。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208（类）05（款）02（项）事业单位医疗，年初预算为1.8万元，支出决算为1.8万元，完成年初预算的100%。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4.210（类）11（款）02（项）其他普通教育支出，年初预算为233.76万元，支出决算为233.76万元，完成年初预算的100%。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 221（类）02（款）03（项）购房补贴，年初预算为8.64万元，支出决算为8.64万元，完成年初预算的100%。</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2020年度财政拨款基本支出6250.04万元，其中：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人员经费5626.03万元，主要包括：基本工资、津贴补贴、伙食补助费、绩效工资、机关事业单位基本养老保险缴费、职业年金缴费、其他社会保障缴费、其他工资福利支出、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公用经费624.02万元，主要 包括：办公费、水费、电费、物业管理费、差旅费、维 修（护）费、工会经费、其他交通费用、其他商品和服务支出专用设备购置、其他资本性支出。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0万元，支出决算为0万元，完成预算的100%，其中：因公出国（境）费支出决算为0万元，完成预算的100%；公务用车购置及运行费支出决算为0万元，完成预算的100%；公务接待费支出决算为0万元，完成预算的100%。2020年度“三公”经费支出决算数小于预算数的主要原因是认真贯彻落实中央八项规定精神和厉行节约要求，进一步从严控制“三公”经费开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 万元，占0%。  </w:t>
      </w:r>
    </w:p>
    <w:p>
      <w:pPr>
        <w:pStyle w:val="5"/>
        <w:adjustRightInd w:val="0"/>
        <w:spacing w:before="0" w:beforeAutospacing="0" w:after="0" w:afterAutospacing="0" w:line="560" w:lineRule="exact"/>
        <w:ind w:firstLine="640" w:firstLineChars="200"/>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本单位为事业单位，不在一般公共预算资金中安排“三公”经费。</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sz w:val="32"/>
          <w:szCs w:val="32"/>
        </w:rPr>
        <w:t>本单位2020年</w:t>
      </w:r>
      <w:r>
        <w:rPr>
          <w:rFonts w:hint="eastAsia" w:ascii="仿宋_GB2312" w:eastAsia="仿宋_GB2312" w:cs="仿宋_GB2312"/>
          <w:bCs/>
          <w:kern w:val="0"/>
          <w:sz w:val="32"/>
          <w:szCs w:val="32"/>
        </w:rPr>
        <w:t>没有政府性基金预算财政拨款收入，也没有政府性基金预算财政拨款安排的支出，故本表无数据”。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sz w:val="32"/>
          <w:szCs w:val="32"/>
        </w:rPr>
        <w:t>本单位2020年</w:t>
      </w:r>
      <w:r>
        <w:rPr>
          <w:rFonts w:hint="eastAsia" w:ascii="仿宋_GB2312" w:eastAsia="仿宋_GB2312" w:cs="仿宋_GB2312"/>
          <w:bCs/>
          <w:kern w:val="0"/>
          <w:sz w:val="32"/>
          <w:szCs w:val="32"/>
        </w:rPr>
        <w:t>没有国有资本经营预算财政拨款收入，也没有国有资本经营预算财政拨款安排的支出，故本表无数据”。</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left="64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 预算项目支出全面开展绩效自评。其中，一级项目3个，二 级项目9个，共涉及预算资金5440.19万元，自评覆盖率达到100%）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（一）机关运行经费支出情况说明。</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本单位无机关运行经费支出。</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（二）政府采购支出情况说明。</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政府采购支出情况。2020年度部门政府采购支出总额118.87万元，其中：货物支出118.87万元。</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（三）国有资产占用情况说明。</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截至2020年12月31日，本单位共有车辆0辆，其中：公务用车0辆；执法执勤用车0辆；专业技术用车0辆；其他用车0辆；单价50万元 以上通用设备0台（套），单价100 万元以上专用设备0台（套）。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事业收入：指事业单位开展专业活动用辅助活动所取得的收入。如：学生学费、住宿费等</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其他收入：指除上述“财政拨款收入”、“事业收入”、“经营收入”等以外的收入。主要是：利息收入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37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华文中宋">
    <w:altName w:val="微软雅黑"/>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- 5 -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4C256E3D"/>
    <w:rsid w:val="00004374"/>
    <w:rsid w:val="00025D09"/>
    <w:rsid w:val="00052C18"/>
    <w:rsid w:val="00066CA3"/>
    <w:rsid w:val="00075ABF"/>
    <w:rsid w:val="000A68C4"/>
    <w:rsid w:val="000D2C30"/>
    <w:rsid w:val="000D4489"/>
    <w:rsid w:val="00100982"/>
    <w:rsid w:val="00145BBE"/>
    <w:rsid w:val="00152B4E"/>
    <w:rsid w:val="0016045F"/>
    <w:rsid w:val="001C5220"/>
    <w:rsid w:val="001E78FC"/>
    <w:rsid w:val="00233286"/>
    <w:rsid w:val="002446E5"/>
    <w:rsid w:val="00256265"/>
    <w:rsid w:val="00300B2B"/>
    <w:rsid w:val="00343716"/>
    <w:rsid w:val="0043325C"/>
    <w:rsid w:val="004C4CD3"/>
    <w:rsid w:val="004E2487"/>
    <w:rsid w:val="004F1037"/>
    <w:rsid w:val="005B5FF7"/>
    <w:rsid w:val="005D7A21"/>
    <w:rsid w:val="00606A6F"/>
    <w:rsid w:val="00634EDF"/>
    <w:rsid w:val="00644D7E"/>
    <w:rsid w:val="006B091F"/>
    <w:rsid w:val="006C1367"/>
    <w:rsid w:val="006F6A2B"/>
    <w:rsid w:val="007040C5"/>
    <w:rsid w:val="00715385"/>
    <w:rsid w:val="00752F0B"/>
    <w:rsid w:val="0076168F"/>
    <w:rsid w:val="007A5EB1"/>
    <w:rsid w:val="007D10F4"/>
    <w:rsid w:val="007F1C85"/>
    <w:rsid w:val="00826BDA"/>
    <w:rsid w:val="0085336A"/>
    <w:rsid w:val="008D2F34"/>
    <w:rsid w:val="009248E5"/>
    <w:rsid w:val="00A70B41"/>
    <w:rsid w:val="00A976D9"/>
    <w:rsid w:val="00AB4B67"/>
    <w:rsid w:val="00AC419C"/>
    <w:rsid w:val="00AE3CFE"/>
    <w:rsid w:val="00B10791"/>
    <w:rsid w:val="00B10F09"/>
    <w:rsid w:val="00B3791C"/>
    <w:rsid w:val="00BD0E79"/>
    <w:rsid w:val="00BE18F2"/>
    <w:rsid w:val="00BF650F"/>
    <w:rsid w:val="00C07ECE"/>
    <w:rsid w:val="00CB5DA4"/>
    <w:rsid w:val="00D42673"/>
    <w:rsid w:val="00D75B01"/>
    <w:rsid w:val="00D94D68"/>
    <w:rsid w:val="00E16FC4"/>
    <w:rsid w:val="00E74312"/>
    <w:rsid w:val="00E958CE"/>
    <w:rsid w:val="00EB26B2"/>
    <w:rsid w:val="00EB3201"/>
    <w:rsid w:val="00EC7D42"/>
    <w:rsid w:val="00F66C5B"/>
    <w:rsid w:val="00FC3F26"/>
    <w:rsid w:val="00FD2DB6"/>
    <w:rsid w:val="00FE7374"/>
    <w:rsid w:val="01BD5F3F"/>
    <w:rsid w:val="07B52BDB"/>
    <w:rsid w:val="0DA86951"/>
    <w:rsid w:val="0E074DDF"/>
    <w:rsid w:val="124204B5"/>
    <w:rsid w:val="182962AB"/>
    <w:rsid w:val="19D073EB"/>
    <w:rsid w:val="1CC31F67"/>
    <w:rsid w:val="1F9C4CF0"/>
    <w:rsid w:val="24D337DC"/>
    <w:rsid w:val="26460DBA"/>
    <w:rsid w:val="2B6F74EB"/>
    <w:rsid w:val="2C4219FE"/>
    <w:rsid w:val="34020F86"/>
    <w:rsid w:val="374D6BA3"/>
    <w:rsid w:val="39A63F06"/>
    <w:rsid w:val="3ED1439F"/>
    <w:rsid w:val="44500BF5"/>
    <w:rsid w:val="48374EDC"/>
    <w:rsid w:val="4C256E3D"/>
    <w:rsid w:val="4CB52F0F"/>
    <w:rsid w:val="532F1F9A"/>
    <w:rsid w:val="56A8574D"/>
    <w:rsid w:val="57007337"/>
    <w:rsid w:val="5E995A3E"/>
    <w:rsid w:val="62163194"/>
    <w:rsid w:val="624D024D"/>
    <w:rsid w:val="650E086A"/>
    <w:rsid w:val="6BAA0708"/>
    <w:rsid w:val="77EA1D1B"/>
    <w:rsid w:val="79DC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6566-A3F4-4840-A34B-22CE96DD0C2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6720</Words>
  <Characters>9308</Characters>
  <Lines>83</Lines>
  <Paragraphs>23</Paragraphs>
  <TotalTime>557</TotalTime>
  <ScaleCrop>false</ScaleCrop>
  <LinksUpToDate>false</LinksUpToDate>
  <CharactersWithSpaces>10072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2021-08-05T06:27:00Z</dcterms:created>
  <dc:creator>陈冬雪</dc:creator>
  <cp:lastModifiedBy>chenchen</cp:lastModifiedBy>
  <cp:lastPrinted>2021-07-07T01:10:00Z</cp:lastPrinted>
  <dcterms:modified xsi:type="dcterms:W3CDTF">2022-09-10T12:53:45Z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C08491CEB1DB4FC7A05AA619F75509D9</vt:lpwstr>
  </property>
</Properties>
</file>