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文物保护与考古研究中心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5742" w:firstLineChars="1300"/>
        <w:jc w:val="both"/>
        <w:rPr>
          <w:rFonts w:hint="eastAsia" w:ascii="方正小标宋简体" w:eastAsia="方正小标宋简体"/>
          <w:b/>
          <w:sz w:val="44"/>
          <w:szCs w:val="44"/>
        </w:rPr>
      </w:pPr>
    </w:p>
    <w:p>
      <w:pPr>
        <w:ind w:firstLine="3092" w:firstLineChars="700"/>
        <w:jc w:val="both"/>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柳州市文物保护与考古研究中心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柳州市文物保护与考古研究中心</w:t>
      </w:r>
      <w:r>
        <w:rPr>
          <w:rFonts w:hint="eastAsia" w:ascii="仿宋_GB2312" w:eastAsia="仿宋_GB2312"/>
          <w:b/>
          <w:sz w:val="32"/>
          <w:szCs w:val="32"/>
        </w:rPr>
        <w:t xml:space="preserve"> 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柳州市文物保护与考古研究中心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b w:val="0"/>
          <w:bCs w:val="0"/>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964" w:firstLineChars="300"/>
        <w:rPr>
          <w:rFonts w:hint="eastAsia" w:ascii="仿宋_GB2312" w:eastAsia="仿宋_GB2312"/>
          <w:b w:val="0"/>
          <w:bCs/>
          <w:sz w:val="32"/>
          <w:szCs w:val="32"/>
        </w:rPr>
      </w:pPr>
      <w:r>
        <w:rPr>
          <w:rFonts w:hint="eastAsia" w:ascii="仿宋_GB2312" w:eastAsia="仿宋_GB2312"/>
          <w:b/>
          <w:bCs w:val="0"/>
          <w:sz w:val="32"/>
          <w:szCs w:val="32"/>
        </w:rPr>
        <w:t>第一部分：</w:t>
      </w:r>
      <w:r>
        <w:rPr>
          <w:rFonts w:hint="eastAsia" w:ascii="仿宋_GB2312" w:hAnsi="黑体" w:eastAsia="仿宋_GB2312"/>
          <w:b/>
          <w:bCs w:val="0"/>
          <w:color w:val="000000"/>
          <w:sz w:val="32"/>
          <w:szCs w:val="32"/>
          <w:u w:val="none"/>
          <w:lang w:eastAsia="zh-CN"/>
        </w:rPr>
        <w:t>柳州市文物保护与考古研究中心</w:t>
      </w:r>
      <w:r>
        <w:rPr>
          <w:rFonts w:hint="eastAsia" w:ascii="仿宋_GB2312" w:eastAsia="仿宋_GB2312"/>
          <w:b/>
          <w:bCs w:val="0"/>
          <w:sz w:val="32"/>
          <w:szCs w:val="32"/>
        </w:rPr>
        <w:t>概况</w:t>
      </w:r>
    </w:p>
    <w:p>
      <w:pPr>
        <w:numPr>
          <w:ilvl w:val="0"/>
          <w:numId w:val="1"/>
        </w:numPr>
        <w:ind w:firstLine="646"/>
        <w:rPr>
          <w:rFonts w:hint="eastAsia" w:ascii="仿宋_GB2312" w:eastAsia="仿宋_GB2312"/>
          <w:b w:val="0"/>
          <w:bCs/>
          <w:sz w:val="32"/>
          <w:szCs w:val="32"/>
        </w:rPr>
      </w:pPr>
      <w:r>
        <w:rPr>
          <w:rFonts w:hint="eastAsia" w:ascii="仿宋_GB2312" w:eastAsia="仿宋_GB2312"/>
          <w:b w:val="0"/>
          <w:bCs/>
          <w:sz w:val="32"/>
          <w:szCs w:val="32"/>
        </w:rPr>
        <w:t>主要职能</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1</w:t>
      </w:r>
      <w:r>
        <w:rPr>
          <w:rFonts w:hint="eastAsia" w:ascii="仿宋_GB2312" w:eastAsia="仿宋_GB2312"/>
          <w:b w:val="0"/>
          <w:bCs/>
          <w:sz w:val="32"/>
          <w:szCs w:val="32"/>
        </w:rPr>
        <w:t>）负责全市文物保护与考古工作，负责市区田野文物调查、考古勘探、发掘与宣传教育工作；</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2</w:t>
      </w:r>
      <w:r>
        <w:rPr>
          <w:rFonts w:hint="eastAsia" w:ascii="仿宋_GB2312" w:eastAsia="仿宋_GB2312"/>
          <w:b w:val="0"/>
          <w:bCs/>
          <w:sz w:val="32"/>
          <w:szCs w:val="32"/>
        </w:rPr>
        <w:t>）负责开展文物保护与考古研究工作，指导县（区）开展文物保护、考古研究、宣传工作</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3</w:t>
      </w:r>
      <w:r>
        <w:rPr>
          <w:rFonts w:hint="eastAsia" w:ascii="仿宋_GB2312" w:eastAsia="仿宋_GB2312"/>
          <w:b w:val="0"/>
          <w:bCs/>
          <w:sz w:val="32"/>
          <w:szCs w:val="32"/>
        </w:rPr>
        <w:t>）负责全市无专门文物管理机构管理的各级文物的安全巡查和日常维护；</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4</w:t>
      </w:r>
      <w:r>
        <w:rPr>
          <w:rFonts w:hint="eastAsia" w:ascii="仿宋_GB2312" w:eastAsia="仿宋_GB2312"/>
          <w:b w:val="0"/>
          <w:bCs/>
          <w:sz w:val="32"/>
          <w:szCs w:val="32"/>
        </w:rPr>
        <w:t>）柳州市历史文化、古人类、民族学、民俗学等学术研究工作。</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5</w:t>
      </w:r>
      <w:r>
        <w:rPr>
          <w:rFonts w:hint="eastAsia" w:ascii="仿宋_GB2312" w:eastAsia="仿宋_GB2312"/>
          <w:b w:val="0"/>
          <w:bCs/>
          <w:sz w:val="32"/>
          <w:szCs w:val="32"/>
        </w:rPr>
        <w:t>）文物征集、鉴定、收藏、修复与展览等工作。</w:t>
      </w:r>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6</w:t>
      </w:r>
      <w:r>
        <w:rPr>
          <w:rFonts w:hint="eastAsia" w:ascii="仿宋_GB2312" w:eastAsia="仿宋_GB2312"/>
          <w:b w:val="0"/>
          <w:bCs/>
          <w:sz w:val="32"/>
          <w:szCs w:val="32"/>
        </w:rPr>
        <w:t>）完成上级部门交办的其他工作。</w:t>
      </w:r>
    </w:p>
    <w:p>
      <w:pPr>
        <w:ind w:firstLine="646"/>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rPr>
        <w:t>二、单位</w:t>
      </w:r>
      <w:r>
        <w:rPr>
          <w:rFonts w:hint="eastAsia" w:ascii="仿宋_GB2312" w:eastAsia="仿宋_GB2312"/>
          <w:b w:val="0"/>
          <w:bCs/>
          <w:color w:val="auto"/>
          <w:sz w:val="32"/>
          <w:szCs w:val="32"/>
          <w:u w:val="none"/>
          <w:lang w:eastAsia="zh-CN"/>
        </w:rPr>
        <w:t>科室</w:t>
      </w:r>
      <w:r>
        <w:rPr>
          <w:rFonts w:hint="eastAsia" w:ascii="仿宋_GB2312" w:eastAsia="仿宋_GB2312"/>
          <w:b w:val="0"/>
          <w:bCs/>
          <w:color w:val="auto"/>
          <w:sz w:val="32"/>
          <w:szCs w:val="32"/>
          <w:u w:val="none"/>
        </w:rPr>
        <w:t>构成</w:t>
      </w:r>
    </w:p>
    <w:p>
      <w:pPr>
        <w:ind w:firstLine="646"/>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单位科室有：办公室、文物保护与安全部、考古研究与信息部</w:t>
      </w: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p>
    <w:p>
      <w:pPr>
        <w:ind w:firstLine="646"/>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柳州市文物保护与考古研究中心</w:t>
      </w:r>
      <w:r>
        <w:rPr>
          <w:rFonts w:hint="eastAsia" w:ascii="仿宋_GB2312" w:eastAsia="仿宋_GB2312"/>
          <w:b/>
          <w:sz w:val="32"/>
          <w:szCs w:val="32"/>
        </w:rPr>
        <w:t xml:space="preserve"> 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（详见附件）</w:t>
      </w: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hint="eastAsia" w:ascii="仿宋_GB2312" w:eastAsia="仿宋_GB2312"/>
          <w:b/>
          <w:sz w:val="32"/>
          <w:szCs w:val="32"/>
        </w:rPr>
      </w:pPr>
    </w:p>
    <w:p>
      <w:pPr>
        <w:spacing w:line="580" w:lineRule="exact"/>
        <w:ind w:firstLine="964" w:firstLineChars="300"/>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柳州市文物保护与考古研究中心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536.91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536.91</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143.61万元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26.75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404.70</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269.18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66.51%</w:t>
      </w:r>
      <w:r>
        <w:rPr>
          <w:rFonts w:hint="eastAsia" w:ascii="仿宋_GB2312" w:eastAsia="仿宋_GB2312" w:cs="仿宋_GB2312"/>
          <w:bCs/>
          <w:kern w:val="0"/>
          <w:sz w:val="32"/>
          <w:szCs w:val="32"/>
        </w:rPr>
        <w:t> ；上级补助收入</w:t>
      </w:r>
      <w:r>
        <w:rPr>
          <w:rFonts w:hint="eastAsia" w:ascii="仿宋_GB2312" w:eastAsia="仿宋_GB2312" w:cs="仿宋_GB2312"/>
          <w:bCs/>
          <w:kern w:val="0"/>
          <w:sz w:val="32"/>
          <w:szCs w:val="32"/>
          <w:lang w:val="en-US" w:eastAsia="zh-CN"/>
        </w:rPr>
        <w:t>135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33.36%</w:t>
      </w:r>
      <w:r>
        <w:rPr>
          <w:rFonts w:hint="eastAsia" w:ascii="仿宋_GB2312" w:eastAsia="仿宋_GB2312" w:cs="仿宋_GB2312"/>
          <w:bCs/>
          <w:kern w:val="0"/>
          <w:sz w:val="32"/>
          <w:szCs w:val="32"/>
        </w:rPr>
        <w:t>  ；其他收入</w:t>
      </w:r>
      <w:r>
        <w:rPr>
          <w:rFonts w:hint="eastAsia" w:ascii="仿宋_GB2312" w:eastAsia="仿宋_GB2312" w:cs="仿宋_GB2312"/>
          <w:bCs/>
          <w:kern w:val="0"/>
          <w:sz w:val="32"/>
          <w:szCs w:val="32"/>
          <w:lang w:val="en-US" w:eastAsia="zh-CN"/>
        </w:rPr>
        <w:t>0.52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0.13%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bCs/>
          <w:kern w:val="0"/>
          <w:sz w:val="32"/>
          <w:szCs w:val="32"/>
          <w:lang w:val="en-US" w:eastAsia="zh-CN"/>
        </w:rPr>
        <w:t>308.15</w:t>
      </w:r>
      <w:r>
        <w:rPr>
          <w:rFonts w:hint="eastAsia" w:ascii="仿宋_GB2312" w:eastAsia="仿宋_GB2312" w:cs="仿宋_GB2312"/>
          <w:bCs/>
          <w:kern w:val="0"/>
          <w:sz w:val="32"/>
          <w:szCs w:val="32"/>
        </w:rPr>
        <w:t xml:space="preserve">万元，其中：基本支出 </w:t>
      </w:r>
      <w:r>
        <w:rPr>
          <w:rFonts w:hint="eastAsia" w:ascii="仿宋_GB2312" w:eastAsia="仿宋_GB2312" w:cs="仿宋_GB2312"/>
          <w:bCs/>
          <w:kern w:val="0"/>
          <w:sz w:val="32"/>
          <w:szCs w:val="32"/>
          <w:lang w:val="en-US" w:eastAsia="zh-CN"/>
        </w:rPr>
        <w:t>183.50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59.55</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124.65</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40.45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hint="eastAsia" w:ascii="仿宋_GB2312" w:eastAsia="仿宋_GB2312" w:cs="仿宋_GB2312"/>
          <w:bCs/>
          <w:kern w:val="0"/>
          <w:sz w:val="32"/>
          <w:szCs w:val="32"/>
          <w:lang w:val="en-US" w:eastAsia="zh-CN"/>
        </w:rPr>
        <w:t>277.66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277.66</w:t>
      </w:r>
      <w:r>
        <w:rPr>
          <w:rFonts w:hint="eastAsia" w:ascii="仿宋_GB2312" w:eastAsia="仿宋_GB2312" w:cs="仿宋_GB2312"/>
          <w:bCs/>
          <w:kern w:val="0"/>
          <w:sz w:val="32"/>
          <w:szCs w:val="32"/>
        </w:rPr>
        <w:t>万元。与 2019 年相比，财政拨款收、支总计各增加</w:t>
      </w:r>
      <w:r>
        <w:rPr>
          <w:rFonts w:hint="eastAsia" w:ascii="仿宋_GB2312" w:eastAsia="仿宋_GB2312" w:cs="仿宋_GB2312"/>
          <w:bCs/>
          <w:kern w:val="0"/>
          <w:sz w:val="32"/>
          <w:szCs w:val="32"/>
          <w:lang w:val="en-US" w:eastAsia="zh-CN"/>
        </w:rPr>
        <w:t>53.78</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19.37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269.09</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31.32</w:t>
      </w:r>
      <w:r>
        <w:rPr>
          <w:rFonts w:hint="eastAsia" w:ascii="仿宋_GB2312" w:eastAsia="仿宋_GB2312" w:cs="仿宋_GB2312"/>
          <w:bCs/>
          <w:kern w:val="0"/>
          <w:sz w:val="32"/>
          <w:szCs w:val="32"/>
        </w:rPr>
        <w:t xml:space="preserve">%。与 2019 年相比，财政拨款支出增 </w:t>
      </w:r>
      <w:r>
        <w:rPr>
          <w:rFonts w:hint="eastAsia" w:ascii="仿宋_GB2312" w:eastAsia="仿宋_GB2312" w:cs="仿宋_GB2312"/>
          <w:bCs/>
          <w:kern w:val="0"/>
          <w:sz w:val="32"/>
          <w:szCs w:val="32"/>
          <w:lang w:val="en-US" w:eastAsia="zh-CN"/>
        </w:rPr>
        <w:t>84.27</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37.64</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w:t>
      </w:r>
      <w:r>
        <w:rPr>
          <w:rFonts w:hint="eastAsia" w:ascii="仿宋_GB2312" w:eastAsia="仿宋_GB2312" w:cs="仿宋_GB2312"/>
          <w:bCs/>
          <w:kern w:val="0"/>
          <w:sz w:val="32"/>
          <w:szCs w:val="32"/>
          <w:lang w:val="en-US" w:eastAsia="zh-CN"/>
        </w:rPr>
        <w:t>269.09</w:t>
      </w:r>
      <w:r>
        <w:rPr>
          <w:rFonts w:hint="eastAsia" w:ascii="仿宋_GB2312" w:eastAsia="仿宋_GB2312" w:cs="仿宋_GB2312"/>
          <w:bCs/>
          <w:kern w:val="0"/>
          <w:sz w:val="32"/>
          <w:szCs w:val="32"/>
        </w:rPr>
        <w:t xml:space="preserve">万元，主要用于以下方面： 文化体育与传媒（类）支出 </w:t>
      </w:r>
      <w:r>
        <w:rPr>
          <w:rFonts w:hint="eastAsia" w:ascii="仿宋_GB2312" w:eastAsia="仿宋_GB2312" w:cs="仿宋_GB2312"/>
          <w:bCs/>
          <w:kern w:val="0"/>
          <w:sz w:val="32"/>
          <w:szCs w:val="32"/>
          <w:lang w:val="en-US" w:eastAsia="zh-CN"/>
        </w:rPr>
        <w:t>225.90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83.95</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20.64</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7.67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6.04</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2.24</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15.38</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5.72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0.42</w:t>
      </w:r>
      <w:r>
        <w:rPr>
          <w:rFonts w:hint="eastAsia" w:ascii="仿宋_GB2312" w:eastAsia="仿宋_GB2312" w:cs="仿宋_GB2312"/>
          <w:bCs/>
          <w:kern w:val="0"/>
          <w:sz w:val="32"/>
          <w:szCs w:val="32"/>
        </w:rPr>
        <w:t>%；</w:t>
      </w:r>
    </w:p>
    <w:p>
      <w:pPr>
        <w:shd w:val="clear" w:fill="FFFFFF" w:themeFill="background1"/>
        <w:autoSpaceDE w:val="0"/>
        <w:autoSpaceDN w:val="0"/>
        <w:adjustRightInd w:val="0"/>
        <w:spacing w:line="580" w:lineRule="exact"/>
        <w:ind w:firstLine="640" w:firstLineChars="200"/>
        <w:jc w:val="left"/>
        <w:rPr>
          <w:rFonts w:ascii="仿宋_GB2312" w:eastAsia="仿宋_GB2312" w:cs="仿宋_GB2312"/>
          <w:bCs/>
          <w:kern w:val="0"/>
          <w:sz w:val="32"/>
          <w:szCs w:val="32"/>
          <w14:textFill>
            <w14:gradFill>
              <w14:gsLst>
                <w14:gs w14:pos="0">
                  <w14:srgbClr w14:val="FE4444"/>
                </w14:gs>
                <w14:gs w14:pos="100000">
                  <w14:srgbClr w14:val="832B2B"/>
                </w14:gs>
              </w14:gsLst>
              <w14:lin w14:scaled="0"/>
            </w14:gradFill>
          </w14:textFill>
        </w:rPr>
      </w:pPr>
      <w:r>
        <w:rPr>
          <w:rFonts w:hint="eastAsia" w:ascii="仿宋_GB2312" w:eastAsia="仿宋_GB2312" w:cs="仿宋_GB2312"/>
          <w:bCs/>
          <w:kern w:val="0"/>
          <w:sz w:val="32"/>
          <w:szCs w:val="32"/>
        </w:rPr>
        <w:t>（三）</w:t>
      </w:r>
      <w:r>
        <w:rPr>
          <w:rFonts w:hint="eastAsia" w:ascii="仿宋_GB2312" w:eastAsia="仿宋_GB2312" w:cs="仿宋_GB2312"/>
          <w:bCs/>
          <w:color w:val="auto"/>
          <w:kern w:val="0"/>
          <w:sz w:val="32"/>
          <w:szCs w:val="32"/>
          <w:shd w:val="clear" w:fill="FFFFFF" w:themeFill="background1"/>
        </w:rPr>
        <w:t>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227.84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269.09</w:t>
      </w:r>
      <w:r>
        <w:rPr>
          <w:rFonts w:hint="eastAsia" w:ascii="仿宋_GB2312" w:eastAsia="仿宋_GB2312" w:cs="仿宋_GB2312"/>
          <w:bCs/>
          <w:kern w:val="0"/>
          <w:sz w:val="32"/>
          <w:szCs w:val="32"/>
        </w:rPr>
        <w:t xml:space="preserve"> 万元，完成年初预算的 </w:t>
      </w:r>
      <w:r>
        <w:rPr>
          <w:rFonts w:hint="eastAsia" w:ascii="仿宋_GB2312" w:eastAsia="仿宋_GB2312" w:cs="仿宋_GB2312"/>
          <w:bCs/>
          <w:kern w:val="0"/>
          <w:sz w:val="32"/>
          <w:szCs w:val="32"/>
          <w:lang w:val="en-US" w:eastAsia="zh-CN"/>
        </w:rPr>
        <w:t>118</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国家文物保护专项资金</w:t>
      </w:r>
      <w:r>
        <w:rPr>
          <w:rFonts w:hint="eastAsia" w:ascii="仿宋_GB2312" w:eastAsia="仿宋_GB2312" w:cs="仿宋_GB2312"/>
          <w:bCs/>
          <w:kern w:val="0"/>
          <w:sz w:val="32"/>
          <w:szCs w:val="32"/>
        </w:rPr>
        <w:t>；二是部分支出按规定，通过使用以前年度财政拨款结转资金解决。其中：</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文化旅游体育与传媒支出（类）文物（款）文物保护（项）。年初预算为</w:t>
      </w:r>
      <w:r>
        <w:rPr>
          <w:rFonts w:hint="eastAsia" w:ascii="仿宋_GB2312" w:eastAsia="仿宋_GB2312"/>
          <w:sz w:val="28"/>
          <w:szCs w:val="28"/>
          <w:lang w:val="en-US" w:eastAsia="zh-CN"/>
        </w:rPr>
        <w:t>185.57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225.90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上级下达了</w:t>
      </w:r>
      <w:r>
        <w:rPr>
          <w:rFonts w:hint="eastAsia" w:ascii="仿宋_GB2312" w:eastAsia="仿宋_GB2312" w:cs="仿宋_GB2312"/>
          <w:bCs/>
          <w:kern w:val="0"/>
          <w:sz w:val="32"/>
          <w:szCs w:val="32"/>
        </w:rPr>
        <w:t>文物保护</w:t>
      </w:r>
      <w:r>
        <w:rPr>
          <w:rFonts w:hint="eastAsia" w:ascii="仿宋_GB2312" w:eastAsia="仿宋_GB2312" w:cs="仿宋_GB2312"/>
          <w:bCs/>
          <w:kern w:val="0"/>
          <w:sz w:val="32"/>
          <w:szCs w:val="32"/>
          <w:lang w:eastAsia="zh-CN"/>
        </w:rPr>
        <w:t>经费。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w:t>
      </w:r>
      <w:r>
        <w:rPr>
          <w:rFonts w:hint="eastAsia" w:ascii="仿宋_GB2312" w:eastAsia="仿宋_GB2312" w:cs="仿宋_GB2312"/>
          <w:bCs/>
          <w:kern w:val="0"/>
          <w:sz w:val="32"/>
          <w:szCs w:val="32"/>
        </w:rPr>
        <w:t>事业单位养老支出（款）</w:t>
      </w:r>
      <w:r>
        <w:rPr>
          <w:rFonts w:hint="eastAsia" w:ascii="仿宋_GB2312" w:eastAsia="仿宋_GB2312" w:cs="仿宋_GB2312"/>
          <w:bCs/>
          <w:kern w:val="0"/>
          <w:sz w:val="32"/>
          <w:szCs w:val="32"/>
          <w:lang w:eastAsia="zh-CN"/>
        </w:rPr>
        <w:t>事业</w:t>
      </w:r>
      <w:r>
        <w:rPr>
          <w:rFonts w:hint="eastAsia" w:ascii="仿宋_GB2312" w:eastAsia="仿宋_GB2312" w:cs="仿宋_GB2312"/>
          <w:bCs/>
          <w:kern w:val="0"/>
          <w:sz w:val="32"/>
          <w:szCs w:val="32"/>
        </w:rPr>
        <w:t>单位离退休（项）。年初预算为</w:t>
      </w:r>
      <w:r>
        <w:rPr>
          <w:rFonts w:hint="eastAsia" w:ascii="仿宋_GB2312" w:eastAsia="仿宋_GB2312"/>
          <w:sz w:val="28"/>
          <w:szCs w:val="28"/>
          <w:lang w:val="en-US" w:eastAsia="zh-CN"/>
        </w:rPr>
        <w:t>23.69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20.64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87.13</w:t>
      </w:r>
      <w:r>
        <w:rPr>
          <w:rFonts w:hint="eastAsia" w:ascii="仿宋_GB2312" w:eastAsia="仿宋_GB2312" w:cs="仿宋_GB2312"/>
          <w:bCs/>
          <w:kern w:val="0"/>
          <w:sz w:val="32"/>
          <w:szCs w:val="32"/>
        </w:rPr>
        <w:t>%。主要原因是</w:t>
      </w:r>
      <w:r>
        <w:rPr>
          <w:rFonts w:hint="eastAsia" w:ascii="仿宋_GB2312" w:eastAsia="仿宋_GB2312"/>
          <w:sz w:val="32"/>
          <w:szCs w:val="32"/>
        </w:rPr>
        <w:t>动用上年结转（结余）</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卫生健康支出（类）行政事业单位医疗（款）事业单位医疗（项）。年初预算为</w:t>
      </w:r>
      <w:r>
        <w:rPr>
          <w:rFonts w:hint="eastAsia" w:ascii="仿宋_GB2312" w:eastAsia="仿宋_GB2312"/>
          <w:sz w:val="28"/>
          <w:szCs w:val="28"/>
          <w:lang w:val="en-US" w:eastAsia="zh-CN"/>
        </w:rPr>
        <w:t>7.19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84</w:t>
      </w:r>
      <w:r>
        <w:rPr>
          <w:rFonts w:hint="eastAsia" w:ascii="仿宋_GB2312" w:eastAsia="仿宋_GB2312" w:cs="仿宋_GB2312"/>
          <w:bCs/>
          <w:kern w:val="0"/>
          <w:sz w:val="32"/>
          <w:szCs w:val="32"/>
        </w:rPr>
        <w:t>%。决算数大于预算数的主要原因是</w:t>
      </w:r>
      <w:r>
        <w:rPr>
          <w:rFonts w:hint="eastAsia" w:ascii="仿宋_GB2312" w:eastAsia="仿宋_GB2312"/>
          <w:sz w:val="32"/>
          <w:szCs w:val="32"/>
        </w:rPr>
        <w:t>动用上年结转（结余）</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sz w:val="28"/>
          <w:szCs w:val="28"/>
          <w:lang w:val="en-US" w:eastAsia="zh-CN"/>
        </w:rPr>
        <w:t>11.39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15.38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其他支出（类）其他支出（款）其他支出（项）。年初预算为</w:t>
      </w:r>
      <w:r>
        <w:rPr>
          <w:rFonts w:hint="eastAsia" w:ascii="仿宋_GB2312" w:eastAsia="仿宋_GB2312"/>
          <w:sz w:val="28"/>
          <w:szCs w:val="28"/>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万元。决算数大于预算数的主要原因是</w:t>
      </w:r>
      <w:r>
        <w:rPr>
          <w:rFonts w:hint="eastAsia" w:ascii="仿宋_GB2312" w:eastAsia="仿宋_GB2312"/>
          <w:sz w:val="32"/>
          <w:szCs w:val="32"/>
          <w:lang w:eastAsia="zh-CN"/>
        </w:rPr>
        <w:t>上级拨入文物保护经费。</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183.50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174.07</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rPr>
        <w:t>其他社会保障缴费、 退休费、生活补助、医疗费、住房公积金</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9.43</w:t>
      </w:r>
      <w:r>
        <w:rPr>
          <w:rFonts w:hint="eastAsia" w:ascii="仿宋_GB2312" w:eastAsia="仿宋_GB2312" w:cs="仿宋_GB2312"/>
          <w:bCs/>
          <w:kern w:val="0"/>
          <w:sz w:val="32"/>
          <w:szCs w:val="32"/>
        </w:rPr>
        <w:t>万元，主要 包括：办公费、印刷费、邮电费、差旅费、维 修（护）费、培训费、公务接待费、工会经费、公务用车运行维护费、其他商品和服务支出</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3.35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59.70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费用无增减。</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w:t>
      </w:r>
      <w:r>
        <w:rPr>
          <w:rFonts w:hint="eastAsia" w:ascii="仿宋_GB2312" w:eastAsia="仿宋_GB2312" w:cs="仿宋_GB2312"/>
          <w:bCs/>
          <w:kern w:val="0"/>
          <w:sz w:val="32"/>
          <w:szCs w:val="32"/>
          <w:lang w:eastAsia="zh-CN"/>
        </w:rPr>
        <w:t>无增减</w:t>
      </w:r>
      <w:r>
        <w:rPr>
          <w:rFonts w:hint="eastAsia" w:ascii="仿宋_GB2312" w:eastAsia="仿宋_GB2312" w:cs="仿宋_GB2312"/>
          <w:bCs/>
          <w:kern w:val="0"/>
          <w:sz w:val="32"/>
          <w:szCs w:val="32"/>
        </w:rPr>
        <w:t>；公务用车购置及运行费</w:t>
      </w:r>
      <w:r>
        <w:rPr>
          <w:rFonts w:hint="eastAsia" w:ascii="仿宋_GB2312" w:eastAsia="仿宋_GB2312" w:cs="仿宋_GB2312"/>
          <w:bCs/>
          <w:kern w:val="0"/>
          <w:sz w:val="32"/>
          <w:szCs w:val="32"/>
          <w:lang w:eastAsia="zh-CN"/>
        </w:rPr>
        <w:t>无增减</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无增减</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2020年度“三公”经费财政拨款支出决算中，公务用车购置及运行费支出决算</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59.70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公车维修、加油、保险</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本部门2020年度无</w:t>
      </w:r>
      <w:r>
        <w:rPr>
          <w:rFonts w:hint="eastAsia" w:ascii="仿宋_GB2312" w:eastAsia="仿宋_GB2312" w:cs="仿宋_GB2312"/>
          <w:b w:val="0"/>
          <w:bCs/>
          <w:kern w:val="0"/>
          <w:sz w:val="32"/>
          <w:szCs w:val="32"/>
        </w:rPr>
        <w:t>政府性基金预算</w:t>
      </w:r>
      <w:r>
        <w:rPr>
          <w:rFonts w:hint="eastAsia" w:ascii="仿宋_GB2312" w:eastAsia="仿宋_GB2312" w:cs="仿宋_GB2312"/>
          <w:b w:val="0"/>
          <w:bCs/>
          <w:kern w:val="0"/>
          <w:sz w:val="32"/>
          <w:szCs w:val="32"/>
          <w:highlight w:val="none"/>
          <w:lang w:val="en-US" w:eastAsia="zh-CN"/>
        </w:rPr>
        <w:t>财政拨款支出。</w:t>
      </w:r>
    </w:p>
    <w:p>
      <w:pPr>
        <w:numPr>
          <w:ilvl w:val="0"/>
          <w:numId w:val="0"/>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ind w:firstLine="643"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本部门2020年度无国有资本经营预算财政拨款支出。</w:t>
      </w:r>
    </w:p>
    <w:p>
      <w:pPr>
        <w:shd w:val="clear"/>
        <w:autoSpaceDE w:val="0"/>
        <w:autoSpaceDN w:val="0"/>
        <w:adjustRightInd w:val="0"/>
        <w:spacing w:line="580" w:lineRule="exact"/>
        <w:ind w:firstLine="643" w:firstLineChars="200"/>
        <w:jc w:val="left"/>
        <w:rPr>
          <w:rFonts w:hint="eastAsia" w:ascii="仿宋_GB2312" w:eastAsia="仿宋_GB2312" w:cs="仿宋_GB2312"/>
          <w:b/>
          <w:color w:val="FFFFFF" w:themeColor="background1"/>
          <w:kern w:val="0"/>
          <w:sz w:val="32"/>
          <w:szCs w:val="32"/>
          <w:highlight w:val="red"/>
          <w14:textFill>
            <w14:solidFill>
              <w14:schemeClr w14:val="bg1"/>
            </w14:solidFill>
          </w14:textFill>
        </w:rPr>
      </w:pPr>
      <w:r>
        <w:rPr>
          <w:rFonts w:hint="eastAsia" w:eastAsia="仿宋_GB2312"/>
          <w:b/>
          <w:color w:val="auto"/>
          <w:kern w:val="0"/>
          <w:sz w:val="32"/>
          <w:szCs w:val="32"/>
          <w:highlight w:val="none"/>
          <w:lang w:eastAsia="zh-CN"/>
        </w:rPr>
        <w:t>十、</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 xml:space="preserve"> 年度预算绩效情况说明</w:t>
      </w:r>
    </w:p>
    <w:p>
      <w:pPr>
        <w:numPr>
          <w:ilvl w:val="0"/>
          <w:numId w:val="0"/>
        </w:numPr>
        <w:shd w:val="clea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本部门2020年度无此情况。</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）政府采购支出情况。2020年度部门政府采购支出总额</w:t>
      </w:r>
      <w:r>
        <w:rPr>
          <w:rFonts w:hint="eastAsia" w:ascii="仿宋_GB2312" w:eastAsia="仿宋_GB2312" w:cs="仿宋_GB2312"/>
          <w:kern w:val="0"/>
          <w:sz w:val="32"/>
          <w:szCs w:val="32"/>
          <w:lang w:val="en-US" w:eastAsia="zh-CN"/>
        </w:rPr>
        <w:t>58</w:t>
      </w:r>
      <w:r>
        <w:rPr>
          <w:rFonts w:hint="eastAsia" w:ascii="仿宋_GB2312" w:eastAsia="仿宋_GB2312" w:cs="仿宋_GB2312"/>
          <w:kern w:val="0"/>
          <w:sz w:val="32"/>
          <w:szCs w:val="32"/>
        </w:rPr>
        <w:t>万元，其中：服务支出</w:t>
      </w:r>
      <w:r>
        <w:rPr>
          <w:rFonts w:hint="eastAsia" w:ascii="仿宋_GB2312" w:eastAsia="仿宋_GB2312" w:cs="仿宋_GB2312"/>
          <w:kern w:val="0"/>
          <w:sz w:val="32"/>
          <w:szCs w:val="32"/>
          <w:lang w:val="en-US" w:eastAsia="zh-CN"/>
        </w:rPr>
        <w:t>58</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color w:val="auto"/>
          <w:kern w:val="0"/>
          <w:sz w:val="32"/>
          <w:szCs w:val="32"/>
          <w:u w:val="none"/>
        </w:rPr>
        <w:t>公务用车</w:t>
      </w:r>
      <w:r>
        <w:rPr>
          <w:rFonts w:hint="eastAsia" w:ascii="仿宋_GB2312" w:eastAsia="仿宋_GB2312" w:cs="仿宋_GB2312"/>
          <w:color w:val="auto"/>
          <w:kern w:val="0"/>
          <w:sz w:val="32"/>
          <w:szCs w:val="32"/>
          <w:u w:val="none"/>
          <w:lang w:val="en-US" w:eastAsia="zh-CN"/>
        </w:rPr>
        <w:t>1</w:t>
      </w:r>
      <w:r>
        <w:rPr>
          <w:rFonts w:hint="eastAsia" w:ascii="仿宋_GB2312" w:eastAsia="仿宋_GB2312" w:cs="仿宋_GB2312"/>
          <w:color w:val="auto"/>
          <w:kern w:val="0"/>
          <w:sz w:val="32"/>
          <w:szCs w:val="32"/>
          <w:u w:val="none"/>
        </w:rPr>
        <w:t>辆</w:t>
      </w:r>
      <w:r>
        <w:rPr>
          <w:rFonts w:hint="eastAsia" w:ascii="仿宋_GB2312" w:eastAsia="仿宋_GB2312" w:cs="仿宋_GB2312"/>
          <w:color w:val="auto"/>
          <w:kern w:val="0"/>
          <w:sz w:val="32"/>
          <w:szCs w:val="32"/>
          <w:u w:val="none"/>
          <w:lang w:eastAsia="zh-CN"/>
        </w:rPr>
        <w:t>；</w:t>
      </w:r>
      <w:r>
        <w:rPr>
          <w:rFonts w:hint="eastAsia" w:ascii="仿宋_GB2312" w:eastAsia="仿宋_GB2312" w:cs="仿宋_GB2312"/>
          <w:color w:val="auto"/>
          <w:kern w:val="0"/>
          <w:sz w:val="32"/>
          <w:szCs w:val="32"/>
          <w:u w:val="none"/>
        </w:rPr>
        <w:t>执法执勤用车</w:t>
      </w:r>
      <w:r>
        <w:rPr>
          <w:rFonts w:hint="eastAsia" w:ascii="仿宋_GB2312" w:eastAsia="仿宋_GB2312" w:cs="仿宋_GB2312"/>
          <w:color w:val="auto"/>
          <w:kern w:val="0"/>
          <w:sz w:val="32"/>
          <w:szCs w:val="32"/>
          <w:u w:val="none"/>
          <w:lang w:val="en-US" w:eastAsia="zh-CN"/>
        </w:rPr>
        <w:t>0</w:t>
      </w:r>
      <w:r>
        <w:rPr>
          <w:rFonts w:hint="eastAsia" w:ascii="仿宋_GB2312" w:eastAsia="仿宋_GB2312" w:cs="仿宋_GB2312"/>
          <w:color w:val="auto"/>
          <w:kern w:val="0"/>
          <w:sz w:val="32"/>
          <w:szCs w:val="32"/>
          <w:u w:val="none"/>
        </w:rPr>
        <w:t>辆；专业技术用</w:t>
      </w:r>
      <w:r>
        <w:rPr>
          <w:rFonts w:hint="eastAsia" w:ascii="仿宋_GB2312" w:eastAsia="仿宋_GB2312" w:cs="仿宋_GB2312"/>
          <w:color w:val="auto"/>
          <w:kern w:val="0"/>
          <w:sz w:val="32"/>
          <w:szCs w:val="32"/>
          <w:u w:val="none"/>
          <w:lang w:eastAsia="zh-CN"/>
        </w:rPr>
        <w:t>车</w:t>
      </w:r>
      <w:r>
        <w:rPr>
          <w:rFonts w:hint="eastAsia" w:ascii="仿宋_GB2312" w:eastAsia="仿宋_GB2312" w:cs="仿宋_GB2312"/>
          <w:color w:val="auto"/>
          <w:kern w:val="0"/>
          <w:sz w:val="32"/>
          <w:szCs w:val="32"/>
          <w:u w:val="none"/>
          <w:lang w:val="en-US" w:eastAsia="zh-CN"/>
        </w:rPr>
        <w:t>0</w:t>
      </w:r>
      <w:r>
        <w:rPr>
          <w:rFonts w:hint="eastAsia" w:ascii="仿宋_GB2312" w:eastAsia="仿宋_GB2312" w:cs="仿宋_GB2312"/>
          <w:color w:val="auto"/>
          <w:kern w:val="0"/>
          <w:sz w:val="32"/>
          <w:szCs w:val="32"/>
          <w:u w:val="none"/>
        </w:rPr>
        <w:t>辆；单价50万元以上通用设备</w:t>
      </w:r>
      <w:r>
        <w:rPr>
          <w:rFonts w:hint="eastAsia" w:hAnsi="宋体" w:eastAsia="仿宋_GB2312"/>
          <w:color w:val="auto"/>
          <w:sz w:val="28"/>
          <w:szCs w:val="28"/>
          <w:lang w:val="en-US" w:eastAsia="zh-CN"/>
        </w:rPr>
        <w:t>0</w:t>
      </w:r>
      <w:r>
        <w:rPr>
          <w:rFonts w:hint="eastAsia" w:ascii="仿宋_GB2312" w:eastAsia="仿宋_GB2312" w:cs="仿宋_GB2312"/>
          <w:color w:val="auto"/>
          <w:kern w:val="0"/>
          <w:sz w:val="32"/>
          <w:szCs w:val="32"/>
          <w:u w:val="none"/>
        </w:rPr>
        <w:t>台（套）</w:t>
      </w:r>
      <w:r>
        <w:rPr>
          <w:rFonts w:hint="eastAsia" w:ascii="仿宋_GB2312" w:eastAsia="仿宋_GB2312" w:cs="仿宋_GB2312"/>
          <w:color w:val="auto"/>
          <w:kern w:val="0"/>
          <w:sz w:val="32"/>
          <w:szCs w:val="32"/>
          <w:u w:val="none"/>
          <w:lang w:eastAsia="zh-CN"/>
        </w:rPr>
        <w:t>，</w:t>
      </w:r>
      <w:r>
        <w:rPr>
          <w:rFonts w:hint="eastAsia" w:ascii="仿宋_GB2312" w:eastAsia="仿宋_GB2312" w:cs="仿宋_GB2312"/>
          <w:color w:val="auto"/>
          <w:kern w:val="0"/>
          <w:sz w:val="32"/>
          <w:szCs w:val="32"/>
          <w:u w:val="none"/>
        </w:rPr>
        <w:t>单价100万元以上专用设备</w:t>
      </w:r>
      <w:r>
        <w:rPr>
          <w:rFonts w:hint="eastAsia" w:hAnsi="宋体" w:eastAsia="仿宋_GB2312"/>
          <w:color w:val="auto"/>
          <w:sz w:val="28"/>
          <w:szCs w:val="28"/>
          <w:lang w:val="en-US" w:eastAsia="zh-CN"/>
        </w:rPr>
        <w:t>0</w:t>
      </w:r>
      <w:r>
        <w:rPr>
          <w:rFonts w:hint="eastAsia" w:ascii="仿宋_GB2312" w:eastAsia="仿宋_GB2312" w:cs="仿宋_GB2312"/>
          <w:color w:val="auto"/>
          <w:kern w:val="0"/>
          <w:sz w:val="32"/>
          <w:szCs w:val="32"/>
          <w:u w:val="none"/>
          <w:lang w:eastAsia="zh-CN"/>
        </w:rPr>
        <w:t>台</w:t>
      </w:r>
      <w:r>
        <w:rPr>
          <w:rFonts w:hint="eastAsia" w:ascii="仿宋_GB2312" w:eastAsia="仿宋_GB2312" w:cs="仿宋_GB2312"/>
          <w:color w:val="auto"/>
          <w:kern w:val="0"/>
          <w:sz w:val="32"/>
          <w:szCs w:val="32"/>
          <w:u w:val="none"/>
        </w:rPr>
        <w:t>（套）。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abstractNum w:abstractNumId="1">
    <w:nsid w:val="6107597D"/>
    <w:multiLevelType w:val="singleLevel"/>
    <w:tmpl w:val="6107597D"/>
    <w:lvl w:ilvl="0" w:tentative="0">
      <w:start w:val="1"/>
      <w:numFmt w:val="decimal"/>
      <w:suff w:val="nothing"/>
      <w:lvlText w:val="%1、"/>
      <w:lvlJc w:val="left"/>
    </w:lvl>
  </w:abstractNum>
  <w:abstractNum w:abstractNumId="2">
    <w:nsid w:val="6107656E"/>
    <w:multiLevelType w:val="singleLevel"/>
    <w:tmpl w:val="6107656E"/>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79395D"/>
    <w:rsid w:val="00F66C5B"/>
    <w:rsid w:val="01F52A47"/>
    <w:rsid w:val="03C72EAE"/>
    <w:rsid w:val="073A3592"/>
    <w:rsid w:val="0BC01A06"/>
    <w:rsid w:val="0E074DDF"/>
    <w:rsid w:val="124204B5"/>
    <w:rsid w:val="131529D2"/>
    <w:rsid w:val="16042D42"/>
    <w:rsid w:val="171F34EB"/>
    <w:rsid w:val="17A00C5B"/>
    <w:rsid w:val="182962AB"/>
    <w:rsid w:val="19B715E4"/>
    <w:rsid w:val="19D073EB"/>
    <w:rsid w:val="1AB041EC"/>
    <w:rsid w:val="1CC31F67"/>
    <w:rsid w:val="1F0C646F"/>
    <w:rsid w:val="21E11FFE"/>
    <w:rsid w:val="24D337DC"/>
    <w:rsid w:val="24D374AE"/>
    <w:rsid w:val="25F15E40"/>
    <w:rsid w:val="26460DBA"/>
    <w:rsid w:val="26BD3580"/>
    <w:rsid w:val="2B2E7F3A"/>
    <w:rsid w:val="2B6F74EB"/>
    <w:rsid w:val="2C4219FE"/>
    <w:rsid w:val="2C5E0E2D"/>
    <w:rsid w:val="2C654245"/>
    <w:rsid w:val="2F806B9C"/>
    <w:rsid w:val="307A1118"/>
    <w:rsid w:val="311743F5"/>
    <w:rsid w:val="31A94BA3"/>
    <w:rsid w:val="32E725C9"/>
    <w:rsid w:val="339F5695"/>
    <w:rsid w:val="34020F86"/>
    <w:rsid w:val="34EF52A8"/>
    <w:rsid w:val="39A63F06"/>
    <w:rsid w:val="3A425893"/>
    <w:rsid w:val="3ED1439F"/>
    <w:rsid w:val="41C37100"/>
    <w:rsid w:val="43834927"/>
    <w:rsid w:val="47B54FC7"/>
    <w:rsid w:val="48374EDC"/>
    <w:rsid w:val="4895412B"/>
    <w:rsid w:val="491B08B4"/>
    <w:rsid w:val="4A8E39E2"/>
    <w:rsid w:val="4C256E3D"/>
    <w:rsid w:val="4CB52F0F"/>
    <w:rsid w:val="4D0B28F2"/>
    <w:rsid w:val="4E1647EC"/>
    <w:rsid w:val="509D58E7"/>
    <w:rsid w:val="516C061B"/>
    <w:rsid w:val="52D969AD"/>
    <w:rsid w:val="532F1F9A"/>
    <w:rsid w:val="5432249B"/>
    <w:rsid w:val="54335BB0"/>
    <w:rsid w:val="56BD4C33"/>
    <w:rsid w:val="5E995A3E"/>
    <w:rsid w:val="5F3B5F38"/>
    <w:rsid w:val="5F61723B"/>
    <w:rsid w:val="62163194"/>
    <w:rsid w:val="622D3B8B"/>
    <w:rsid w:val="624D024D"/>
    <w:rsid w:val="626348EA"/>
    <w:rsid w:val="63256535"/>
    <w:rsid w:val="646F648B"/>
    <w:rsid w:val="650E086A"/>
    <w:rsid w:val="662456FC"/>
    <w:rsid w:val="67004061"/>
    <w:rsid w:val="6ABA66C4"/>
    <w:rsid w:val="6B222CCD"/>
    <w:rsid w:val="6BAA0708"/>
    <w:rsid w:val="6F2942DE"/>
    <w:rsid w:val="70BC448B"/>
    <w:rsid w:val="7851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TotalTime>
  <ScaleCrop>false</ScaleCrop>
  <LinksUpToDate>false</LinksUpToDate>
  <CharactersWithSpaces>8540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2022-09-10T11:25:28Z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B42B164BCE164AD4A881DD864B767914</vt:lpwstr>
  </property>
</Properties>
</file>