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rPr>
      </w:pPr>
    </w:p>
    <w:p>
      <w:pPr>
        <w:rPr>
          <w:rFonts w:ascii="黑体" w:eastAsia="黑体" w:cs="ArialUnicodeMS"/>
          <w:color w:val="auto"/>
          <w:kern w:val="0"/>
          <w:sz w:val="72"/>
          <w:szCs w:val="72"/>
        </w:rPr>
      </w:pPr>
    </w:p>
    <w:p>
      <w:pPr>
        <w:rPr>
          <w:rFonts w:ascii="黑体" w:eastAsia="黑体" w:cs="ArialUnicodeMS"/>
          <w:color w:val="auto"/>
          <w:kern w:val="0"/>
          <w:sz w:val="72"/>
          <w:szCs w:val="72"/>
        </w:rPr>
      </w:pPr>
    </w:p>
    <w:p>
      <w:pPr>
        <w:jc w:val="center"/>
        <w:rPr>
          <w:rFonts w:hint="eastAsia" w:ascii="黑体" w:eastAsia="黑体" w:cs="ArialUnicodeMS"/>
          <w:color w:val="auto"/>
          <w:kern w:val="0"/>
          <w:sz w:val="52"/>
          <w:szCs w:val="52"/>
          <w:lang w:eastAsia="zh-CN"/>
        </w:rPr>
      </w:pPr>
      <w:r>
        <w:rPr>
          <w:rFonts w:hint="eastAsia" w:ascii="黑体" w:eastAsia="黑体" w:cs="ArialUnicodeMS"/>
          <w:color w:val="auto"/>
          <w:kern w:val="0"/>
          <w:sz w:val="52"/>
          <w:szCs w:val="52"/>
          <w:lang w:eastAsia="zh-CN"/>
        </w:rPr>
        <w:t>柳州市志愿服务管理中心</w:t>
      </w:r>
    </w:p>
    <w:p>
      <w:pPr>
        <w:jc w:val="center"/>
        <w:rPr>
          <w:rFonts w:ascii="黑体" w:eastAsia="黑体" w:cs="ArialUnicodeMS"/>
          <w:color w:val="auto"/>
          <w:kern w:val="0"/>
          <w:sz w:val="52"/>
          <w:szCs w:val="52"/>
        </w:rPr>
      </w:pPr>
      <w:r>
        <w:rPr>
          <w:rFonts w:hint="eastAsia" w:ascii="黑体" w:eastAsia="黑体"/>
          <w:color w:val="auto"/>
          <w:kern w:val="0"/>
          <w:sz w:val="52"/>
          <w:szCs w:val="52"/>
        </w:rPr>
        <w:t>2020</w:t>
      </w:r>
      <w:r>
        <w:rPr>
          <w:rFonts w:hint="eastAsia" w:ascii="黑体" w:eastAsia="黑体" w:cs="ArialUnicodeMS"/>
          <w:color w:val="auto"/>
          <w:kern w:val="0"/>
          <w:sz w:val="52"/>
          <w:szCs w:val="52"/>
        </w:rPr>
        <w:t>年度部门决算</w:t>
      </w: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jc w:val="both"/>
        <w:rPr>
          <w:rFonts w:ascii="黑体" w:eastAsia="黑体" w:cs="黑体"/>
          <w:color w:val="auto"/>
          <w:kern w:val="0"/>
          <w:sz w:val="44"/>
          <w:szCs w:val="44"/>
        </w:rPr>
      </w:pPr>
    </w:p>
    <w:p>
      <w:pPr>
        <w:jc w:val="both"/>
        <w:rPr>
          <w:rFonts w:ascii="黑体" w:eastAsia="黑体" w:cs="黑体"/>
          <w:color w:val="auto"/>
          <w:kern w:val="0"/>
          <w:sz w:val="44"/>
          <w:szCs w:val="44"/>
        </w:rPr>
      </w:pPr>
    </w:p>
    <w:p>
      <w:pPr>
        <w:ind w:firstLine="646"/>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目    录</w:t>
      </w:r>
    </w:p>
    <w:p>
      <w:pPr>
        <w:ind w:firstLine="645"/>
        <w:rPr>
          <w:rFonts w:ascii="仿宋_GB2312" w:eastAsia="仿宋_GB2312"/>
          <w:b/>
          <w:color w:val="auto"/>
          <w:sz w:val="32"/>
          <w:szCs w:val="32"/>
          <w:u w:val="none"/>
        </w:rPr>
      </w:pPr>
    </w:p>
    <w:p>
      <w:pPr>
        <w:ind w:firstLine="645"/>
        <w:rPr>
          <w:rFonts w:ascii="仿宋_GB2312" w:eastAsia="仿宋_GB2312"/>
          <w:b/>
          <w:color w:val="auto"/>
          <w:sz w:val="32"/>
          <w:szCs w:val="32"/>
        </w:rPr>
      </w:pPr>
      <w:r>
        <w:rPr>
          <w:rFonts w:hint="eastAsia" w:ascii="仿宋_GB2312" w:eastAsia="仿宋_GB2312"/>
          <w:b/>
          <w:color w:val="auto"/>
          <w:sz w:val="32"/>
          <w:szCs w:val="32"/>
          <w:u w:val="none"/>
        </w:rPr>
        <w:t>第一部分：</w:t>
      </w:r>
      <w:r>
        <w:rPr>
          <w:rFonts w:hint="eastAsia" w:ascii="仿宋_GB2312" w:hAnsi="黑体" w:eastAsia="仿宋_GB2312"/>
          <w:b/>
          <w:bCs/>
          <w:color w:val="auto"/>
          <w:sz w:val="32"/>
          <w:szCs w:val="32"/>
          <w:u w:val="none"/>
          <w:lang w:eastAsia="zh-CN"/>
        </w:rPr>
        <w:t>柳州市志愿服务管理中心</w:t>
      </w:r>
      <w:r>
        <w:rPr>
          <w:rFonts w:hint="eastAsia" w:ascii="仿宋_GB2312" w:eastAsia="仿宋_GB2312"/>
          <w:b/>
          <w:color w:val="auto"/>
          <w:sz w:val="32"/>
          <w:szCs w:val="32"/>
        </w:rPr>
        <w:t>概况</w:t>
      </w:r>
    </w:p>
    <w:p>
      <w:pPr>
        <w:ind w:firstLine="645"/>
        <w:rPr>
          <w:rFonts w:ascii="仿宋_GB2312" w:eastAsia="仿宋_GB2312"/>
          <w:color w:val="auto"/>
          <w:sz w:val="32"/>
          <w:szCs w:val="32"/>
        </w:rPr>
      </w:pPr>
      <w:r>
        <w:rPr>
          <w:rFonts w:hint="eastAsia" w:ascii="仿宋_GB2312" w:eastAsia="仿宋_GB2312"/>
          <w:color w:val="auto"/>
          <w:sz w:val="32"/>
          <w:szCs w:val="32"/>
        </w:rPr>
        <w:t>一、主要职能</w:t>
      </w:r>
    </w:p>
    <w:p>
      <w:pPr>
        <w:ind w:firstLine="645"/>
        <w:rPr>
          <w:rFonts w:ascii="仿宋_GB2312" w:eastAsia="仿宋_GB2312"/>
          <w:color w:val="auto"/>
          <w:sz w:val="32"/>
          <w:szCs w:val="32"/>
        </w:rPr>
      </w:pPr>
      <w:r>
        <w:rPr>
          <w:rFonts w:hint="eastAsia" w:ascii="仿宋_GB2312" w:eastAsia="仿宋_GB2312"/>
          <w:color w:val="auto"/>
          <w:sz w:val="32"/>
          <w:szCs w:val="32"/>
        </w:rPr>
        <w:t>二、部门决算单位构成</w:t>
      </w:r>
    </w:p>
    <w:p>
      <w:pPr>
        <w:ind w:firstLine="645"/>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u w:val="none"/>
          <w:lang w:eastAsia="zh-CN"/>
        </w:rPr>
        <w:t>柳州市志愿服务管理中心</w:t>
      </w:r>
      <w:r>
        <w:rPr>
          <w:rFonts w:hint="eastAsia" w:ascii="仿宋_GB2312" w:eastAsia="仿宋_GB2312"/>
          <w:b/>
          <w:color w:val="auto"/>
          <w:sz w:val="32"/>
          <w:szCs w:val="32"/>
        </w:rPr>
        <w:t>2020年部门决算报表</w:t>
      </w:r>
    </w:p>
    <w:p>
      <w:pPr>
        <w:ind w:left="645"/>
        <w:rPr>
          <w:rFonts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表五：一般公共预算财政拨款支出决算表</w:t>
      </w:r>
    </w:p>
    <w:p>
      <w:pPr>
        <w:ind w:left="645"/>
        <w:rPr>
          <w:rFonts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pPr>
        <w:ind w:left="645"/>
        <w:rPr>
          <w:rFonts w:ascii="仿宋_GB2312" w:eastAsia="仿宋_GB2312"/>
          <w:color w:val="auto"/>
          <w:w w:val="90"/>
          <w:sz w:val="32"/>
          <w:szCs w:val="32"/>
        </w:rPr>
      </w:pPr>
      <w:r>
        <w:rPr>
          <w:rFonts w:hint="eastAsia" w:ascii="仿宋_GB2312" w:eastAsia="仿宋_GB2312"/>
          <w:color w:val="auto"/>
          <w:sz w:val="32"/>
          <w:szCs w:val="32"/>
        </w:rPr>
        <w:t>表七：</w:t>
      </w:r>
      <w:r>
        <w:rPr>
          <w:rFonts w:hint="eastAsia" w:ascii="仿宋_GB2312" w:eastAsia="仿宋_GB2312"/>
          <w:color w:val="auto"/>
          <w:w w:val="90"/>
          <w:sz w:val="32"/>
          <w:szCs w:val="32"/>
        </w:rPr>
        <w:t>一般公共预算财政拨款安排的“</w:t>
      </w:r>
      <w:r>
        <w:rPr>
          <w:rFonts w:ascii="仿宋_GB2312" w:eastAsia="仿宋_GB2312"/>
          <w:color w:val="auto"/>
          <w:w w:val="90"/>
          <w:sz w:val="32"/>
          <w:szCs w:val="32"/>
        </w:rPr>
        <w:t>三公</w:t>
      </w:r>
      <w:r>
        <w:rPr>
          <w:rFonts w:hint="eastAsia" w:ascii="仿宋_GB2312" w:eastAsia="仿宋_GB2312"/>
          <w:color w:val="auto"/>
          <w:w w:val="90"/>
          <w:sz w:val="32"/>
          <w:szCs w:val="32"/>
        </w:rPr>
        <w:t>”</w:t>
      </w:r>
      <w:r>
        <w:rPr>
          <w:rFonts w:ascii="仿宋_GB2312" w:eastAsia="仿宋_GB2312"/>
          <w:color w:val="auto"/>
          <w:w w:val="90"/>
          <w:sz w:val="32"/>
          <w:szCs w:val="32"/>
        </w:rPr>
        <w:t>经费</w:t>
      </w:r>
      <w:r>
        <w:rPr>
          <w:rFonts w:hint="eastAsia" w:ascii="仿宋_GB2312" w:eastAsia="仿宋_GB2312"/>
          <w:color w:val="auto"/>
          <w:w w:val="90"/>
          <w:sz w:val="32"/>
          <w:szCs w:val="32"/>
        </w:rPr>
        <w:t>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left="645"/>
        <w:rPr>
          <w:rFonts w:hint="eastAsia" w:ascii="仿宋_GB2312" w:eastAsia="仿宋_GB2312"/>
          <w:color w:val="auto"/>
          <w:sz w:val="32"/>
          <w:szCs w:val="32"/>
        </w:rPr>
      </w:pPr>
      <w:r>
        <w:rPr>
          <w:rFonts w:hint="eastAsia" w:ascii="仿宋_GB2312" w:eastAsia="仿宋_GB2312"/>
          <w:sz w:val="32"/>
          <w:szCs w:val="32"/>
          <w:lang w:eastAsia="zh-CN"/>
        </w:rPr>
        <w:t>表九：国有资本经营预算财政拨款支出决算表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43" w:firstLineChars="200"/>
        <w:jc w:val="both"/>
        <w:textAlignment w:val="auto"/>
        <w:outlineLvl w:val="9"/>
        <w:rPr>
          <w:rFonts w:ascii="仿宋_GB2312" w:eastAsia="仿宋_GB2312"/>
          <w:b/>
          <w:color w:val="auto"/>
          <w:w w:val="90"/>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u w:val="none"/>
          <w:lang w:eastAsia="zh-CN"/>
        </w:rPr>
        <w:t>柳州市志愿服务管理中心</w:t>
      </w:r>
      <w:r>
        <w:rPr>
          <w:rFonts w:hint="eastAsia" w:ascii="仿宋_GB2312" w:eastAsia="仿宋_GB2312"/>
          <w:b/>
          <w:color w:val="auto"/>
          <w:w w:val="90"/>
          <w:sz w:val="32"/>
          <w:szCs w:val="32"/>
        </w:rPr>
        <w:t>2020年度部门决算情况说明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年度收入决算情况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七、</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color w:val="auto"/>
          <w:kern w:val="0"/>
          <w:sz w:val="32"/>
          <w:szCs w:val="32"/>
        </w:rPr>
        <w:t>八、</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九、</w:t>
      </w:r>
      <w:r>
        <w:rPr>
          <w:rFonts w:hint="eastAsia" w:ascii="仿宋_GB2312" w:eastAsia="仿宋_GB2312" w:cs="仿宋_GB2312"/>
          <w:bCs/>
          <w:color w:val="auto"/>
          <w:kern w:val="0"/>
          <w:sz w:val="32"/>
          <w:szCs w:val="32"/>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十</w:t>
      </w:r>
      <w:r>
        <w:rPr>
          <w:rFonts w:hint="eastAsia" w:ascii="仿宋_GB2312" w:eastAsia="仿宋_GB2312" w:cs="仿宋_GB2312"/>
          <w:bCs/>
          <w:color w:val="auto"/>
          <w:kern w:val="0"/>
          <w:sz w:val="32"/>
          <w:szCs w:val="32"/>
        </w:rPr>
        <w:t>、</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bCs/>
          <w:color w:val="auto"/>
          <w:kern w:val="0"/>
          <w:sz w:val="32"/>
          <w:szCs w:val="32"/>
        </w:rPr>
        <w:t>十</w:t>
      </w:r>
      <w:r>
        <w:rPr>
          <w:rFonts w:hint="eastAsia" w:ascii="仿宋_GB2312" w:eastAsia="仿宋_GB2312" w:cs="仿宋_GB2312"/>
          <w:bCs/>
          <w:color w:val="auto"/>
          <w:kern w:val="0"/>
          <w:sz w:val="32"/>
          <w:szCs w:val="32"/>
          <w:lang w:val="en-US" w:eastAsia="zh-CN"/>
        </w:rPr>
        <w:t>一</w:t>
      </w:r>
      <w:r>
        <w:rPr>
          <w:rFonts w:hint="eastAsia" w:ascii="仿宋_GB2312" w:eastAsia="仿宋_GB2312" w:cs="仿宋_GB2312"/>
          <w:bCs/>
          <w:color w:val="auto"/>
          <w:kern w:val="0"/>
          <w:sz w:val="32"/>
          <w:szCs w:val="32"/>
        </w:rPr>
        <w:t>、其他重要事项的情况说明</w:t>
      </w:r>
    </w:p>
    <w:p>
      <w:pPr>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6"/>
        <w:jc w:val="center"/>
        <w:rPr>
          <w:rFonts w:ascii="仿宋_GB2312" w:eastAsia="仿宋_GB2312"/>
          <w:b/>
          <w:color w:val="auto"/>
          <w:sz w:val="32"/>
          <w:szCs w:val="32"/>
        </w:rPr>
      </w:pPr>
      <w:r>
        <w:rPr>
          <w:rFonts w:hint="eastAsia" w:ascii="仿宋_GB2312" w:eastAsia="仿宋_GB2312" w:cs="仿宋_GB2312"/>
          <w:bCs/>
          <w:color w:val="auto"/>
          <w:kern w:val="0"/>
          <w:sz w:val="32"/>
          <w:szCs w:val="32"/>
        </w:rPr>
        <w:br w:type="page"/>
      </w:r>
      <w:r>
        <w:rPr>
          <w:rFonts w:hint="eastAsia" w:ascii="仿宋_GB2312" w:hAnsi="仿宋_GB2312" w:eastAsia="仿宋_GB2312" w:cs="仿宋_GB2312"/>
          <w:b/>
          <w:color w:val="auto"/>
          <w:sz w:val="32"/>
          <w:szCs w:val="32"/>
        </w:rPr>
        <w:t>第一部分：</w:t>
      </w:r>
      <w:r>
        <w:rPr>
          <w:rFonts w:hint="eastAsia" w:ascii="仿宋_GB2312" w:hAnsi="黑体" w:eastAsia="仿宋_GB2312"/>
          <w:b/>
          <w:bCs/>
          <w:color w:val="auto"/>
          <w:sz w:val="32"/>
          <w:szCs w:val="32"/>
          <w:u w:val="none"/>
          <w:lang w:eastAsia="zh-CN"/>
        </w:rPr>
        <w:t>柳州市志愿服务管理中心</w:t>
      </w:r>
      <w:r>
        <w:rPr>
          <w:rFonts w:hint="eastAsia" w:ascii="仿宋_GB2312" w:hAnsi="仿宋_GB2312" w:eastAsia="仿宋_GB2312" w:cs="仿宋_GB2312"/>
          <w:b/>
          <w:color w:val="auto"/>
          <w:sz w:val="32"/>
          <w:szCs w:val="32"/>
        </w:rPr>
        <w:t>概况</w:t>
      </w:r>
    </w:p>
    <w:p>
      <w:pPr>
        <w:ind w:firstLine="646"/>
        <w:rPr>
          <w:rFonts w:hint="eastAsia" w:ascii="黑体" w:hAnsi="黑体" w:eastAsia="黑体" w:cs="黑体"/>
          <w:color w:val="auto"/>
          <w:sz w:val="32"/>
          <w:szCs w:val="32"/>
        </w:rPr>
      </w:pPr>
      <w:r>
        <w:rPr>
          <w:rFonts w:hint="eastAsia" w:ascii="黑体" w:hAnsi="黑体" w:eastAsia="黑体" w:cs="黑体"/>
          <w:color w:val="auto"/>
          <w:sz w:val="32"/>
          <w:szCs w:val="32"/>
        </w:rPr>
        <w:t>一、主要职能</w:t>
      </w:r>
    </w:p>
    <w:p>
      <w:pPr>
        <w:spacing w:line="600" w:lineRule="exact"/>
        <w:ind w:firstLine="627" w:firstLineChars="196"/>
        <w:rPr>
          <w:rFonts w:hint="eastAsia" w:ascii="仿宋_GB2312" w:eastAsia="仿宋_GB2312"/>
          <w:color w:val="auto"/>
          <w:sz w:val="32"/>
          <w:szCs w:val="32"/>
        </w:rPr>
      </w:pPr>
      <w:r>
        <w:rPr>
          <w:rFonts w:hint="eastAsia" w:ascii="仿宋_GB2312" w:eastAsia="仿宋_GB2312"/>
          <w:color w:val="auto"/>
          <w:sz w:val="32"/>
          <w:szCs w:val="32"/>
        </w:rPr>
        <w:t>（一）统筹规划、组织协调全市志愿服务工作。</w:t>
      </w:r>
    </w:p>
    <w:p>
      <w:pPr>
        <w:spacing w:line="600" w:lineRule="exact"/>
        <w:ind w:firstLine="627" w:firstLineChars="196"/>
        <w:rPr>
          <w:rFonts w:hint="eastAsia" w:ascii="仿宋_GB2312" w:eastAsia="仿宋_GB2312"/>
          <w:color w:val="auto"/>
          <w:sz w:val="32"/>
          <w:szCs w:val="32"/>
        </w:rPr>
      </w:pPr>
      <w:r>
        <w:rPr>
          <w:rFonts w:hint="eastAsia" w:ascii="仿宋_GB2312" w:eastAsia="仿宋_GB2312"/>
          <w:color w:val="auto"/>
          <w:sz w:val="32"/>
          <w:szCs w:val="32"/>
        </w:rPr>
        <w:t>（二）充分发挥新时代文明实践中心志愿者主体作用，推进学雷锋志愿服务制度化常态化专业化。</w:t>
      </w:r>
    </w:p>
    <w:p>
      <w:pPr>
        <w:spacing w:line="600" w:lineRule="exact"/>
        <w:ind w:firstLine="627" w:firstLineChars="196"/>
        <w:rPr>
          <w:rFonts w:hint="eastAsia" w:ascii="仿宋_GB2312" w:eastAsia="仿宋_GB2312"/>
          <w:color w:val="auto"/>
          <w:sz w:val="32"/>
          <w:szCs w:val="32"/>
        </w:rPr>
      </w:pPr>
      <w:r>
        <w:rPr>
          <w:rFonts w:hint="eastAsia" w:ascii="仿宋_GB2312" w:eastAsia="仿宋_GB2312"/>
          <w:color w:val="auto"/>
          <w:sz w:val="32"/>
          <w:szCs w:val="32"/>
        </w:rPr>
        <w:t>（三）健全和完善全市学雷锋志愿服务机制体制。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ascii="仿宋_GB2312" w:eastAsia="仿宋_GB2312"/>
          <w:color w:val="auto"/>
          <w:sz w:val="32"/>
          <w:szCs w:val="32"/>
        </w:rPr>
      </w:pPr>
      <w:r>
        <w:rPr>
          <w:rFonts w:hint="eastAsia" w:ascii="仿宋_GB2312" w:hAnsi="Times New Roman" w:eastAsia="仿宋_GB2312"/>
          <w:color w:val="auto"/>
          <w:sz w:val="32"/>
          <w:szCs w:val="32"/>
        </w:rPr>
        <w:t>（四）完成主管部门交办的其他工作任务</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hAnsi="宋体" w:eastAsia="仿宋_GB2312" w:cs="宋体"/>
          <w:color w:val="auto"/>
          <w:kern w:val="0"/>
          <w:sz w:val="32"/>
          <w:szCs w:val="32"/>
        </w:rPr>
      </w:pPr>
      <w:r>
        <w:rPr>
          <w:rFonts w:hint="eastAsia" w:ascii="仿宋_GB2312" w:hAnsi="仿宋_GB2312" w:eastAsia="仿宋_GB2312" w:cs="仿宋_GB2312"/>
          <w:color w:val="auto"/>
          <w:sz w:val="32"/>
          <w:szCs w:val="32"/>
        </w:rPr>
        <w:t>柳州市志愿服务管理中心是市委宣传部管理的正科级公益一类全额拨款事业单位</w:t>
      </w:r>
      <w:r>
        <w:rPr>
          <w:rFonts w:hint="eastAsia" w:ascii="仿宋_GB2312" w:eastAsia="仿宋_GB2312"/>
          <w:color w:val="auto"/>
          <w:sz w:val="32"/>
          <w:szCs w:val="32"/>
        </w:rPr>
        <w:t>。</w:t>
      </w:r>
    </w:p>
    <w:p>
      <w:pPr>
        <w:rPr>
          <w:color w:val="auto"/>
        </w:rPr>
      </w:pPr>
      <w:r>
        <w:rPr>
          <w:rFonts w:hint="eastAsia" w:ascii="仿宋_GB2312" w:hAnsi="仿宋_GB2312" w:eastAsia="仿宋_GB2312" w:cs="仿宋_GB2312"/>
          <w:b/>
          <w:bCs/>
          <w:color w:val="auto"/>
          <w:sz w:val="32"/>
          <w:szCs w:val="32"/>
          <w:u w:val="none"/>
          <w:lang w:eastAsia="zh-CN"/>
        </w:rPr>
        <w:t>第二部分：</w:t>
      </w:r>
      <w:r>
        <w:rPr>
          <w:rFonts w:hint="eastAsia" w:ascii="仿宋_GB2312" w:hAnsi="黑体" w:eastAsia="仿宋_GB2312"/>
          <w:b/>
          <w:bCs/>
          <w:color w:val="auto"/>
          <w:sz w:val="32"/>
          <w:szCs w:val="32"/>
          <w:u w:val="none"/>
          <w:lang w:eastAsia="zh-CN"/>
        </w:rPr>
        <w:t>柳州市志愿服务管理中心</w:t>
      </w:r>
      <w:r>
        <w:rPr>
          <w:rFonts w:hint="eastAsia" w:ascii="仿宋_GB2312" w:hAnsi="仿宋_GB2312" w:eastAsia="仿宋_GB2312" w:cs="仿宋_GB2312"/>
          <w:b/>
          <w:bCs/>
          <w:color w:val="auto"/>
          <w:sz w:val="32"/>
          <w:szCs w:val="32"/>
          <w:u w:val="none"/>
          <w:lang w:eastAsia="zh-CN"/>
        </w:rPr>
        <w:t>2020年部门决算报表</w:t>
      </w:r>
    </w:p>
    <w:p>
      <w:pPr>
        <w:rPr>
          <w:color w:val="auto"/>
        </w:rPr>
      </w:pPr>
    </w:p>
    <w:tbl>
      <w:tblPr>
        <w:tblStyle w:val="6"/>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9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表一：收入支出决算总表</w:t>
            </w:r>
          </w:p>
          <w:p>
            <w:pPr>
              <w:widowControl/>
              <w:jc w:val="right"/>
              <w:rPr>
                <w:rFonts w:ascii="宋体" w:hAnsi="宋体" w:cs="宋体"/>
                <w:color w:val="auto"/>
                <w:kern w:val="0"/>
                <w:sz w:val="22"/>
                <w:szCs w:val="22"/>
              </w:rPr>
            </w:pPr>
            <w:r>
              <w:rPr>
                <w:rFonts w:hint="eastAsia" w:ascii="宋体" w:hAnsi="宋体" w:cs="宋体"/>
                <w:color w:val="auto"/>
                <w:kern w:val="0"/>
                <w:sz w:val="22"/>
                <w:szCs w:val="22"/>
              </w:rPr>
              <w:t>单位：</w:t>
            </w:r>
            <w:r>
              <w:rPr>
                <w:rFonts w:ascii="宋体" w:hAnsi="宋体" w:cs="宋体"/>
                <w:color w:val="auto"/>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auto"/>
                <w:kern w:val="0"/>
                <w:sz w:val="22"/>
                <w:szCs w:val="22"/>
              </w:rPr>
            </w:pPr>
            <w:r>
              <w:rPr>
                <w:rFonts w:hint="eastAsia" w:ascii="宋体" w:hAnsi="宋体" w:cs="宋体"/>
                <w:color w:val="auto"/>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157.75</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140.55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6.32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九、卫生健康支出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2.32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十一、城乡社区支出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0.01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lang w:val="en-US" w:eastAsia="zh-CN"/>
              </w:rPr>
              <w:t>十二、农林水支出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2.45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3.68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color w:val="auto"/>
                <w:kern w:val="0"/>
                <w:sz w:val="22"/>
                <w:szCs w:val="22"/>
                <w:lang w:val="en-US" w:eastAsia="zh-CN"/>
              </w:rPr>
              <w:t>157.75</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2"/>
                <w:szCs w:val="22"/>
                <w:lang w:val="en-US" w:eastAsia="zh-CN"/>
              </w:rPr>
            </w:pPr>
            <w:r>
              <w:rPr>
                <w:rFonts w:hint="eastAsia" w:ascii="宋体" w:hAnsi="宋体" w:cs="宋体"/>
                <w:b/>
                <w:color w:val="auto"/>
                <w:kern w:val="0"/>
                <w:sz w:val="22"/>
                <w:szCs w:val="22"/>
                <w:lang w:val="en-US" w:eastAsia="zh-CN"/>
              </w:rPr>
              <w:t>155.33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2.42</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color w:val="auto"/>
                <w:kern w:val="0"/>
                <w:sz w:val="22"/>
                <w:szCs w:val="22"/>
                <w:lang w:val="en-US" w:eastAsia="zh-CN"/>
              </w:rPr>
              <w:t>157.75</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auto"/>
                <w:kern w:val="0"/>
                <w:sz w:val="22"/>
                <w:szCs w:val="22"/>
                <w:lang w:val="en-US" w:eastAsia="zh-CN"/>
              </w:rPr>
            </w:pPr>
            <w:r>
              <w:rPr>
                <w:rFonts w:hint="eastAsia" w:ascii="宋体" w:hAnsi="宋体" w:cs="宋体"/>
                <w:b/>
                <w:color w:val="auto"/>
                <w:kern w:val="0"/>
                <w:sz w:val="22"/>
                <w:szCs w:val="22"/>
                <w:lang w:val="en-US" w:eastAsia="zh-CN"/>
              </w:rPr>
              <w:t>155.33</w:t>
            </w:r>
          </w:p>
        </w:tc>
      </w:tr>
    </w:tbl>
    <w:p>
      <w:pP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rPr>
        <w:t>注：本表反映</w:t>
      </w:r>
      <w:r>
        <w:rPr>
          <w:rFonts w:hint="eastAsia"/>
          <w:color w:val="auto"/>
          <w:lang w:val="en-US" w:eastAsia="zh-CN"/>
        </w:rPr>
        <w:t>单位</w:t>
      </w:r>
      <w:r>
        <w:rPr>
          <w:rFonts w:hint="eastAsia"/>
          <w:color w:val="auto"/>
        </w:rPr>
        <w:t>本年度的总收支和年末结转结余情况。</w:t>
      </w:r>
    </w:p>
    <w:tbl>
      <w:tblPr>
        <w:tblStyle w:val="6"/>
        <w:tblpPr w:leftFromText="180" w:rightFromText="180" w:vertAnchor="text" w:horzAnchor="page" w:tblpX="1491" w:tblpY="686"/>
        <w:tblOverlap w:val="never"/>
        <w:tblW w:w="13932" w:type="dxa"/>
        <w:tblInd w:w="0" w:type="dxa"/>
        <w:tblLayout w:type="fixed"/>
        <w:tblCellMar>
          <w:top w:w="0" w:type="dxa"/>
          <w:left w:w="108" w:type="dxa"/>
          <w:bottom w:w="0" w:type="dxa"/>
          <w:right w:w="108" w:type="dxa"/>
        </w:tblCellMar>
      </w:tblPr>
      <w:tblGrid>
        <w:gridCol w:w="1084"/>
        <w:gridCol w:w="4118"/>
        <w:gridCol w:w="1275"/>
        <w:gridCol w:w="1155"/>
        <w:gridCol w:w="1230"/>
        <w:gridCol w:w="1020"/>
        <w:gridCol w:w="855"/>
        <w:gridCol w:w="1185"/>
        <w:gridCol w:w="2010"/>
      </w:tblGrid>
      <w:tr>
        <w:tblPrEx>
          <w:tblCellMar>
            <w:top w:w="0" w:type="dxa"/>
            <w:left w:w="108" w:type="dxa"/>
            <w:bottom w:w="0" w:type="dxa"/>
            <w:right w:w="108" w:type="dxa"/>
          </w:tblCellMar>
        </w:tblPrEx>
        <w:trPr>
          <w:trHeight w:val="288" w:hRule="atLeast"/>
        </w:trPr>
        <w:tc>
          <w:tcPr>
            <w:tcW w:w="5202"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支出功能项目</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本年收入合计</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财政拨款收入</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上级补助收入</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事业收入</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经营收入</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附属单位上缴收入</w:t>
            </w:r>
          </w:p>
        </w:tc>
        <w:tc>
          <w:tcPr>
            <w:tcW w:w="20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其他收入</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科目</w:t>
            </w:r>
          </w:p>
          <w:p>
            <w:pPr>
              <w:widowControl/>
              <w:jc w:val="center"/>
              <w:rPr>
                <w:rFonts w:ascii="宋体" w:hAnsi="宋体" w:cs="Arial"/>
                <w:color w:val="auto"/>
                <w:kern w:val="0"/>
                <w:sz w:val="22"/>
                <w:szCs w:val="22"/>
              </w:rPr>
            </w:pPr>
            <w:r>
              <w:rPr>
                <w:rFonts w:hint="eastAsia" w:ascii="宋体" w:hAnsi="宋体" w:cs="Arial"/>
                <w:color w:val="auto"/>
                <w:kern w:val="0"/>
                <w:sz w:val="22"/>
                <w:szCs w:val="22"/>
              </w:rPr>
              <w:t>编码</w:t>
            </w:r>
          </w:p>
        </w:tc>
        <w:tc>
          <w:tcPr>
            <w:tcW w:w="411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27" w:hRule="atLeast"/>
        </w:trPr>
        <w:tc>
          <w:tcPr>
            <w:tcW w:w="520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b/>
                <w:bCs/>
                <w:color w:val="auto"/>
                <w:kern w:val="0"/>
                <w:sz w:val="22"/>
                <w:szCs w:val="22"/>
              </w:rPr>
              <w:t>栏次</w:t>
            </w:r>
          </w:p>
        </w:tc>
        <w:tc>
          <w:tcPr>
            <w:tcW w:w="1275"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23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02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855" w:type="dxa"/>
            <w:tcBorders>
              <w:top w:val="nil"/>
              <w:left w:val="nil"/>
              <w:bottom w:val="single" w:color="auto" w:sz="4" w:space="0"/>
              <w:right w:val="single" w:color="auto" w:sz="4" w:space="0"/>
            </w:tcBorders>
            <w:vAlign w:val="top"/>
          </w:tcPr>
          <w:p>
            <w:pPr>
              <w:widowControl/>
              <w:ind w:firstLine="660" w:firstLineChars="300"/>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5</w:t>
            </w:r>
          </w:p>
        </w:tc>
        <w:tc>
          <w:tcPr>
            <w:tcW w:w="1185"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auto"/>
                <w:kern w:val="0"/>
                <w:sz w:val="22"/>
                <w:szCs w:val="22"/>
              </w:rPr>
            </w:pPr>
            <w:r>
              <w:rPr>
                <w:rFonts w:hint="eastAsia" w:ascii="宋体" w:hAnsi="宋体" w:cs="Arial"/>
                <w:color w:val="auto"/>
                <w:kern w:val="0"/>
                <w:sz w:val="22"/>
                <w:szCs w:val="22"/>
              </w:rPr>
              <w:t>6</w:t>
            </w:r>
          </w:p>
        </w:tc>
        <w:tc>
          <w:tcPr>
            <w:tcW w:w="201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r>
      <w:tr>
        <w:tblPrEx>
          <w:tblCellMar>
            <w:top w:w="0" w:type="dxa"/>
            <w:left w:w="108" w:type="dxa"/>
            <w:bottom w:w="0" w:type="dxa"/>
            <w:right w:w="108" w:type="dxa"/>
          </w:tblCellMar>
        </w:tblPrEx>
        <w:trPr>
          <w:trHeight w:val="288" w:hRule="atLeast"/>
        </w:trPr>
        <w:tc>
          <w:tcPr>
            <w:tcW w:w="520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157.75</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157.75</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02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85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01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90"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201</w:t>
            </w:r>
          </w:p>
        </w:tc>
        <w:tc>
          <w:tcPr>
            <w:tcW w:w="41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一般公共服务支出</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142.97</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142.97</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20133</w:t>
            </w:r>
          </w:p>
        </w:tc>
        <w:tc>
          <w:tcPr>
            <w:tcW w:w="41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宣传事务</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142.97</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142.97</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auto"/>
                <w:kern w:val="0"/>
                <w:sz w:val="22"/>
                <w:szCs w:val="22"/>
                <w:lang w:val="en-US" w:eastAsia="zh-CN"/>
              </w:rPr>
            </w:pPr>
            <w:r>
              <w:rPr>
                <w:rFonts w:hint="eastAsia"/>
                <w:color w:val="auto"/>
              </w:rPr>
              <w:t>2013350</w:t>
            </w:r>
          </w:p>
        </w:tc>
        <w:tc>
          <w:tcPr>
            <w:tcW w:w="41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 xml:space="preserve">  事业运行</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142.97</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142.97</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208</w:t>
            </w:r>
          </w:p>
        </w:tc>
        <w:tc>
          <w:tcPr>
            <w:tcW w:w="411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社会保障和就业支出</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w:t>
            </w:r>
          </w:p>
        </w:tc>
        <w:tc>
          <w:tcPr>
            <w:tcW w:w="4118"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行政事业单位养老支出</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02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01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2080505</w:t>
            </w:r>
          </w:p>
        </w:tc>
        <w:tc>
          <w:tcPr>
            <w:tcW w:w="4118"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 xml:space="preserve">  机关事业单位基本养老保险缴费支出</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4.57</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4.57</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02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01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2080506</w:t>
            </w:r>
          </w:p>
        </w:tc>
        <w:tc>
          <w:tcPr>
            <w:tcW w:w="4118"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 xml:space="preserve">  机关事业单位职业年金缴费支出</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1.74</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1.74</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02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90"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210</w:t>
            </w:r>
          </w:p>
        </w:tc>
        <w:tc>
          <w:tcPr>
            <w:tcW w:w="4118"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卫生健康支出</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02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21011</w:t>
            </w:r>
          </w:p>
        </w:tc>
        <w:tc>
          <w:tcPr>
            <w:tcW w:w="4118"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行政事业单位医疗</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02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2101102</w:t>
            </w:r>
          </w:p>
        </w:tc>
        <w:tc>
          <w:tcPr>
            <w:tcW w:w="411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事业单位医疗</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212</w:t>
            </w:r>
          </w:p>
        </w:tc>
        <w:tc>
          <w:tcPr>
            <w:tcW w:w="4118"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城乡社区支出</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21205</w:t>
            </w:r>
          </w:p>
        </w:tc>
        <w:tc>
          <w:tcPr>
            <w:tcW w:w="411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城乡社区环境卫生</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2120501</w:t>
            </w:r>
          </w:p>
        </w:tc>
        <w:tc>
          <w:tcPr>
            <w:tcW w:w="411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城乡社区环境卫生</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213</w:t>
            </w:r>
          </w:p>
        </w:tc>
        <w:tc>
          <w:tcPr>
            <w:tcW w:w="4118"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农林水支出</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21302</w:t>
            </w:r>
          </w:p>
        </w:tc>
        <w:tc>
          <w:tcPr>
            <w:tcW w:w="411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林业和草原</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nil"/>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2130204</w:t>
            </w:r>
          </w:p>
        </w:tc>
        <w:tc>
          <w:tcPr>
            <w:tcW w:w="4118" w:type="dxa"/>
            <w:tcBorders>
              <w:top w:val="nil"/>
              <w:left w:val="nil"/>
              <w:bottom w:val="nil"/>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事业机构</w:t>
            </w:r>
          </w:p>
        </w:tc>
        <w:tc>
          <w:tcPr>
            <w:tcW w:w="127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15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230"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855"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nil"/>
              <w:right w:val="single" w:color="auto" w:sz="4" w:space="0"/>
            </w:tcBorders>
            <w:vAlign w:val="top"/>
          </w:tcPr>
          <w:p>
            <w:pPr>
              <w:widowControl/>
              <w:jc w:val="left"/>
              <w:rPr>
                <w:rFonts w:hint="eastAsia"/>
                <w:color w:val="auto"/>
              </w:rPr>
            </w:pPr>
            <w:r>
              <w:rPr>
                <w:rFonts w:hint="eastAsia"/>
                <w:color w:val="auto"/>
              </w:rPr>
              <w:t>221</w:t>
            </w:r>
          </w:p>
        </w:tc>
        <w:tc>
          <w:tcPr>
            <w:tcW w:w="4118" w:type="dxa"/>
            <w:tcBorders>
              <w:top w:val="nil"/>
              <w:left w:val="nil"/>
              <w:bottom w:val="nil"/>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住房保障支出</w:t>
            </w:r>
          </w:p>
        </w:tc>
        <w:tc>
          <w:tcPr>
            <w:tcW w:w="127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15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230"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855"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nil"/>
              <w:right w:val="single" w:color="auto" w:sz="4" w:space="0"/>
            </w:tcBorders>
            <w:vAlign w:val="top"/>
          </w:tcPr>
          <w:p>
            <w:pPr>
              <w:widowControl/>
              <w:jc w:val="left"/>
              <w:rPr>
                <w:rFonts w:hint="eastAsia"/>
                <w:color w:val="auto"/>
              </w:rPr>
            </w:pPr>
            <w:r>
              <w:rPr>
                <w:rFonts w:hint="eastAsia"/>
                <w:color w:val="auto"/>
              </w:rPr>
              <w:t>22102</w:t>
            </w:r>
          </w:p>
        </w:tc>
        <w:tc>
          <w:tcPr>
            <w:tcW w:w="4118" w:type="dxa"/>
            <w:tcBorders>
              <w:top w:val="nil"/>
              <w:left w:val="nil"/>
              <w:bottom w:val="nil"/>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住房改革支出</w:t>
            </w:r>
          </w:p>
        </w:tc>
        <w:tc>
          <w:tcPr>
            <w:tcW w:w="127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15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230"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855"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color w:val="auto"/>
              </w:rPr>
            </w:pPr>
            <w:r>
              <w:rPr>
                <w:rFonts w:hint="eastAsia"/>
                <w:color w:val="auto"/>
              </w:rPr>
              <w:t>2210201</w:t>
            </w:r>
          </w:p>
        </w:tc>
        <w:tc>
          <w:tcPr>
            <w:tcW w:w="411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住房公积金</w:t>
            </w:r>
          </w:p>
        </w:tc>
        <w:tc>
          <w:tcPr>
            <w:tcW w:w="127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23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85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8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201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bl>
    <w:p>
      <w:pPr>
        <w:jc w:val="center"/>
        <w:rPr>
          <w:rFonts w:hint="eastAsia"/>
          <w:color w:val="auto"/>
        </w:rPr>
      </w:pPr>
      <w:r>
        <w:rPr>
          <w:rFonts w:hint="eastAsia" w:ascii="方正小标宋简体" w:hAnsi="宋体" w:eastAsia="方正小标宋简体" w:cs="宋体"/>
          <w:color w:val="auto"/>
          <w:kern w:val="0"/>
          <w:sz w:val="36"/>
          <w:szCs w:val="36"/>
        </w:rPr>
        <w:t>表二：收入决算表</w:t>
      </w:r>
    </w:p>
    <w:p>
      <w:pPr>
        <w:rPr>
          <w:color w:val="auto"/>
        </w:rPr>
      </w:pPr>
      <w:r>
        <w:rPr>
          <w:rFonts w:hint="eastAsia"/>
          <w:color w:val="auto"/>
        </w:rPr>
        <w:t>注：本表反映</w:t>
      </w:r>
      <w:r>
        <w:rPr>
          <w:rFonts w:hint="eastAsia"/>
          <w:color w:val="auto"/>
          <w:lang w:val="en-US" w:eastAsia="zh-CN"/>
        </w:rPr>
        <w:t>单位</w:t>
      </w:r>
      <w:r>
        <w:rPr>
          <w:rFonts w:hint="eastAsia"/>
          <w:color w:val="auto"/>
        </w:rPr>
        <w:t>本年度取得的各项收入情况。</w:t>
      </w:r>
      <w:r>
        <w:rPr>
          <w:rFonts w:hint="eastAsia"/>
          <w:color w:val="auto"/>
          <w:lang w:val="en-US" w:eastAsia="zh-CN"/>
        </w:rPr>
        <w:t xml:space="preserve">                                                                                 </w:t>
      </w:r>
      <w:r>
        <w:rPr>
          <w:rFonts w:hint="eastAsia"/>
          <w:color w:val="auto"/>
          <w:sz w:val="22"/>
          <w:szCs w:val="22"/>
        </w:rPr>
        <w:t>单位：万元</w:t>
      </w:r>
    </w:p>
    <w:p>
      <w:pPr>
        <w:jc w:val="center"/>
        <w:rPr>
          <w:color w:val="auto"/>
        </w:rPr>
      </w:pPr>
      <w:r>
        <w:rPr>
          <w:rFonts w:hint="eastAsia" w:ascii="方正小标宋简体" w:hAnsi="宋体" w:eastAsia="方正小标宋简体" w:cs="宋体"/>
          <w:color w:val="auto"/>
          <w:kern w:val="0"/>
          <w:sz w:val="36"/>
          <w:szCs w:val="36"/>
        </w:rPr>
        <w:t>表三：支出决算表</w:t>
      </w:r>
    </w:p>
    <w:p>
      <w:pPr>
        <w:jc w:val="right"/>
        <w:rPr>
          <w:color w:val="auto"/>
        </w:rPr>
      </w:pPr>
      <w:r>
        <w:rPr>
          <w:rFonts w:hint="eastAsia"/>
          <w:color w:val="auto"/>
          <w:sz w:val="22"/>
          <w:szCs w:val="22"/>
        </w:rPr>
        <w:t>单位：万元</w:t>
      </w:r>
    </w:p>
    <w:tbl>
      <w:tblPr>
        <w:tblStyle w:val="6"/>
        <w:tblW w:w="14049" w:type="dxa"/>
        <w:jc w:val="center"/>
        <w:tblLayout w:type="fixed"/>
        <w:tblCellMar>
          <w:top w:w="0" w:type="dxa"/>
          <w:left w:w="108" w:type="dxa"/>
          <w:bottom w:w="0" w:type="dxa"/>
          <w:right w:w="108" w:type="dxa"/>
        </w:tblCellMar>
      </w:tblPr>
      <w:tblGrid>
        <w:gridCol w:w="1180"/>
        <w:gridCol w:w="4058"/>
        <w:gridCol w:w="885"/>
        <w:gridCol w:w="1155"/>
        <w:gridCol w:w="1242"/>
        <w:gridCol w:w="1213"/>
        <w:gridCol w:w="1635"/>
        <w:gridCol w:w="2681"/>
      </w:tblGrid>
      <w:tr>
        <w:tblPrEx>
          <w:tblCellMar>
            <w:top w:w="0" w:type="dxa"/>
            <w:left w:w="108" w:type="dxa"/>
            <w:bottom w:w="0" w:type="dxa"/>
            <w:right w:w="108" w:type="dxa"/>
          </w:tblCellMar>
        </w:tblPrEx>
        <w:trPr>
          <w:trHeight w:val="288" w:hRule="atLeast"/>
          <w:jc w:val="center"/>
        </w:trPr>
        <w:tc>
          <w:tcPr>
            <w:tcW w:w="52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支出功能项目</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基本支出</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项目支出</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上缴上级支出</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经营支出</w:t>
            </w:r>
          </w:p>
        </w:tc>
        <w:tc>
          <w:tcPr>
            <w:tcW w:w="26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科目编码</w:t>
            </w:r>
          </w:p>
        </w:tc>
        <w:tc>
          <w:tcPr>
            <w:tcW w:w="405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2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5238"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auto"/>
                <w:kern w:val="0"/>
                <w:sz w:val="22"/>
                <w:szCs w:val="22"/>
              </w:rPr>
            </w:pPr>
            <w:r>
              <w:rPr>
                <w:rFonts w:hint="eastAsia" w:ascii="宋体" w:hAnsi="宋体" w:cs="Arial"/>
                <w:color w:val="auto"/>
                <w:kern w:val="0"/>
                <w:sz w:val="22"/>
                <w:szCs w:val="22"/>
              </w:rPr>
              <w:t>栏次</w:t>
            </w:r>
          </w:p>
        </w:tc>
        <w:tc>
          <w:tcPr>
            <w:tcW w:w="885"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15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2</w:t>
            </w:r>
          </w:p>
        </w:tc>
        <w:tc>
          <w:tcPr>
            <w:tcW w:w="1242"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3</w:t>
            </w:r>
          </w:p>
        </w:tc>
        <w:tc>
          <w:tcPr>
            <w:tcW w:w="1213"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63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5</w:t>
            </w:r>
          </w:p>
        </w:tc>
        <w:tc>
          <w:tcPr>
            <w:tcW w:w="268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6</w:t>
            </w:r>
          </w:p>
        </w:tc>
      </w:tr>
      <w:tr>
        <w:tblPrEx>
          <w:tblCellMar>
            <w:top w:w="0" w:type="dxa"/>
            <w:left w:w="108" w:type="dxa"/>
            <w:bottom w:w="0" w:type="dxa"/>
            <w:right w:w="108" w:type="dxa"/>
          </w:tblCellMar>
        </w:tblPrEx>
        <w:trPr>
          <w:trHeight w:val="288" w:hRule="atLeast"/>
          <w:jc w:val="center"/>
        </w:trPr>
        <w:tc>
          <w:tcPr>
            <w:tcW w:w="5238"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auto"/>
                <w:kern w:val="0"/>
                <w:sz w:val="22"/>
                <w:szCs w:val="22"/>
              </w:rPr>
            </w:pPr>
            <w:r>
              <w:rPr>
                <w:rFonts w:hint="eastAsia" w:ascii="宋体" w:hAnsi="宋体" w:cs="Arial"/>
                <w:color w:val="auto"/>
                <w:kern w:val="0"/>
                <w:sz w:val="22"/>
                <w:szCs w:val="22"/>
              </w:rPr>
              <w:t>合计</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155.33</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34.89</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120.45</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color w:val="auto"/>
              </w:rPr>
              <w:t>201</w:t>
            </w:r>
          </w:p>
        </w:tc>
        <w:tc>
          <w:tcPr>
            <w:tcW w:w="4058"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一般公共服务支出</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140.55</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20.11</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120.45</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20133</w:t>
            </w:r>
          </w:p>
        </w:tc>
        <w:tc>
          <w:tcPr>
            <w:tcW w:w="4058"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宣传事务</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140.55</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20.11</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120.45</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90"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2013350</w:t>
            </w:r>
          </w:p>
        </w:tc>
        <w:tc>
          <w:tcPr>
            <w:tcW w:w="4058"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 xml:space="preserve">  事业运行</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140.55</w:t>
            </w:r>
          </w:p>
        </w:tc>
        <w:tc>
          <w:tcPr>
            <w:tcW w:w="1155"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20.11</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120.45</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w:t>
            </w:r>
          </w:p>
        </w:tc>
        <w:tc>
          <w:tcPr>
            <w:tcW w:w="4058"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社会保障和就业支出</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6.32</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w:t>
            </w:r>
          </w:p>
        </w:tc>
        <w:tc>
          <w:tcPr>
            <w:tcW w:w="4058"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行政事业单位养老支出</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2080505</w:t>
            </w:r>
          </w:p>
        </w:tc>
        <w:tc>
          <w:tcPr>
            <w:tcW w:w="4058"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 xml:space="preserve">  机关事业单位基本养老保险缴费支出</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4.57</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4.57</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2080506</w:t>
            </w:r>
          </w:p>
        </w:tc>
        <w:tc>
          <w:tcPr>
            <w:tcW w:w="4058"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 xml:space="preserve">  机关事业单位职业年金缴费支出</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1.74</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1.74</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w:t>
            </w:r>
          </w:p>
        </w:tc>
        <w:tc>
          <w:tcPr>
            <w:tcW w:w="4058"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卫生健康支出</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w:t>
            </w:r>
          </w:p>
        </w:tc>
        <w:tc>
          <w:tcPr>
            <w:tcW w:w="405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行政事业单位医疗</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2101102</w:t>
            </w:r>
          </w:p>
        </w:tc>
        <w:tc>
          <w:tcPr>
            <w:tcW w:w="4058"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 xml:space="preserve">  事业单位医疗</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212</w:t>
            </w:r>
          </w:p>
        </w:tc>
        <w:tc>
          <w:tcPr>
            <w:tcW w:w="405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城乡社区支出</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21205</w:t>
            </w:r>
          </w:p>
        </w:tc>
        <w:tc>
          <w:tcPr>
            <w:tcW w:w="405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城乡社区环境卫生</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2120501</w:t>
            </w:r>
          </w:p>
        </w:tc>
        <w:tc>
          <w:tcPr>
            <w:tcW w:w="4058"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 xml:space="preserve">  城乡社区环境卫生</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213</w:t>
            </w:r>
          </w:p>
        </w:tc>
        <w:tc>
          <w:tcPr>
            <w:tcW w:w="405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农林水支出</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21302</w:t>
            </w:r>
          </w:p>
        </w:tc>
        <w:tc>
          <w:tcPr>
            <w:tcW w:w="4058"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林业和草原</w:t>
            </w:r>
          </w:p>
        </w:tc>
        <w:tc>
          <w:tcPr>
            <w:tcW w:w="88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15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24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nil"/>
              <w:right w:val="single" w:color="auto" w:sz="4" w:space="0"/>
            </w:tcBorders>
            <w:vAlign w:val="top"/>
          </w:tcPr>
          <w:p>
            <w:pPr>
              <w:widowControl/>
              <w:jc w:val="left"/>
              <w:rPr>
                <w:rFonts w:ascii="宋体" w:hAnsi="宋体" w:cs="Arial"/>
                <w:color w:val="auto"/>
                <w:kern w:val="0"/>
                <w:sz w:val="22"/>
                <w:szCs w:val="22"/>
              </w:rPr>
            </w:pPr>
            <w:r>
              <w:rPr>
                <w:rFonts w:hint="eastAsia"/>
                <w:color w:val="auto"/>
              </w:rPr>
              <w:t>2130204</w:t>
            </w:r>
          </w:p>
        </w:tc>
        <w:tc>
          <w:tcPr>
            <w:tcW w:w="4058" w:type="dxa"/>
            <w:tcBorders>
              <w:top w:val="nil"/>
              <w:left w:val="nil"/>
              <w:bottom w:val="nil"/>
              <w:right w:val="single" w:color="auto" w:sz="4" w:space="0"/>
            </w:tcBorders>
            <w:vAlign w:val="top"/>
          </w:tcPr>
          <w:p>
            <w:pPr>
              <w:widowControl/>
              <w:jc w:val="left"/>
              <w:rPr>
                <w:rFonts w:ascii="宋体" w:hAnsi="宋体" w:cs="Arial"/>
                <w:color w:val="auto"/>
                <w:kern w:val="0"/>
                <w:sz w:val="22"/>
                <w:szCs w:val="22"/>
              </w:rPr>
            </w:pPr>
            <w:r>
              <w:rPr>
                <w:rFonts w:hint="eastAsia"/>
                <w:color w:val="auto"/>
              </w:rPr>
              <w:t xml:space="preserve">  事业机构</w:t>
            </w:r>
          </w:p>
        </w:tc>
        <w:tc>
          <w:tcPr>
            <w:tcW w:w="88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15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242"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nil"/>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nil"/>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nil"/>
              <w:right w:val="single" w:color="auto" w:sz="4" w:space="0"/>
            </w:tcBorders>
            <w:vAlign w:val="top"/>
          </w:tcPr>
          <w:p>
            <w:pPr>
              <w:widowControl/>
              <w:jc w:val="left"/>
              <w:rPr>
                <w:rFonts w:hint="eastAsia"/>
                <w:color w:val="auto"/>
              </w:rPr>
            </w:pPr>
            <w:r>
              <w:rPr>
                <w:rFonts w:hint="eastAsia"/>
                <w:color w:val="auto"/>
              </w:rPr>
              <w:t>221</w:t>
            </w:r>
          </w:p>
        </w:tc>
        <w:tc>
          <w:tcPr>
            <w:tcW w:w="4058" w:type="dxa"/>
            <w:tcBorders>
              <w:top w:val="nil"/>
              <w:left w:val="nil"/>
              <w:bottom w:val="nil"/>
              <w:right w:val="single" w:color="auto" w:sz="4" w:space="0"/>
            </w:tcBorders>
            <w:vAlign w:val="top"/>
          </w:tcPr>
          <w:p>
            <w:pPr>
              <w:widowControl/>
              <w:jc w:val="left"/>
              <w:rPr>
                <w:rFonts w:ascii="宋体" w:hAnsi="宋体" w:cs="Arial"/>
                <w:color w:val="auto"/>
                <w:kern w:val="0"/>
                <w:sz w:val="22"/>
                <w:szCs w:val="22"/>
              </w:rPr>
            </w:pPr>
            <w:r>
              <w:rPr>
                <w:rFonts w:hint="eastAsia"/>
                <w:color w:val="auto"/>
              </w:rPr>
              <w:t>住房保障支出</w:t>
            </w:r>
          </w:p>
        </w:tc>
        <w:tc>
          <w:tcPr>
            <w:tcW w:w="88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15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242"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nil"/>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nil"/>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nil"/>
              <w:right w:val="single" w:color="auto" w:sz="4" w:space="0"/>
            </w:tcBorders>
            <w:vAlign w:val="top"/>
          </w:tcPr>
          <w:p>
            <w:pPr>
              <w:widowControl/>
              <w:jc w:val="left"/>
              <w:rPr>
                <w:rFonts w:hint="eastAsia"/>
                <w:color w:val="auto"/>
              </w:rPr>
            </w:pPr>
            <w:r>
              <w:rPr>
                <w:rFonts w:hint="eastAsia"/>
                <w:color w:val="auto"/>
              </w:rPr>
              <w:t>22102</w:t>
            </w:r>
          </w:p>
        </w:tc>
        <w:tc>
          <w:tcPr>
            <w:tcW w:w="4058" w:type="dxa"/>
            <w:tcBorders>
              <w:top w:val="nil"/>
              <w:left w:val="nil"/>
              <w:bottom w:val="nil"/>
              <w:right w:val="single" w:color="auto" w:sz="4" w:space="0"/>
            </w:tcBorders>
            <w:vAlign w:val="top"/>
          </w:tcPr>
          <w:p>
            <w:pPr>
              <w:widowControl/>
              <w:jc w:val="left"/>
              <w:rPr>
                <w:rFonts w:ascii="宋体" w:hAnsi="宋体" w:cs="Arial"/>
                <w:color w:val="auto"/>
                <w:kern w:val="0"/>
                <w:sz w:val="22"/>
                <w:szCs w:val="22"/>
              </w:rPr>
            </w:pPr>
            <w:r>
              <w:rPr>
                <w:rFonts w:hint="eastAsia"/>
                <w:color w:val="auto"/>
              </w:rPr>
              <w:t>住房改革支出</w:t>
            </w:r>
          </w:p>
        </w:tc>
        <w:tc>
          <w:tcPr>
            <w:tcW w:w="88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15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242"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nil"/>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nil"/>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nil"/>
              <w:right w:val="single" w:color="auto" w:sz="4" w:space="0"/>
            </w:tcBorders>
            <w:vAlign w:val="top"/>
          </w:tcPr>
          <w:p>
            <w:pPr>
              <w:widowControl/>
              <w:jc w:val="left"/>
              <w:rPr>
                <w:rFonts w:hint="eastAsia"/>
                <w:color w:val="auto"/>
              </w:rPr>
            </w:pPr>
            <w:r>
              <w:rPr>
                <w:rFonts w:hint="eastAsia"/>
                <w:color w:val="auto"/>
              </w:rPr>
              <w:t>2210201</w:t>
            </w:r>
          </w:p>
        </w:tc>
        <w:tc>
          <w:tcPr>
            <w:tcW w:w="4058" w:type="dxa"/>
            <w:tcBorders>
              <w:top w:val="nil"/>
              <w:left w:val="nil"/>
              <w:bottom w:val="nil"/>
              <w:right w:val="single" w:color="auto" w:sz="4" w:space="0"/>
            </w:tcBorders>
            <w:vAlign w:val="top"/>
          </w:tcPr>
          <w:p>
            <w:pPr>
              <w:widowControl/>
              <w:jc w:val="left"/>
              <w:rPr>
                <w:rFonts w:ascii="宋体" w:hAnsi="宋体" w:cs="Arial"/>
                <w:color w:val="auto"/>
                <w:kern w:val="0"/>
                <w:sz w:val="22"/>
                <w:szCs w:val="22"/>
              </w:rPr>
            </w:pPr>
            <w:r>
              <w:rPr>
                <w:rFonts w:hint="eastAsia"/>
                <w:color w:val="auto"/>
              </w:rPr>
              <w:t xml:space="preserve">  住房公积金</w:t>
            </w:r>
          </w:p>
        </w:tc>
        <w:tc>
          <w:tcPr>
            <w:tcW w:w="88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155"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242"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nil"/>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nil"/>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nil"/>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bl>
    <w:p>
      <w:pPr>
        <w:rPr>
          <w:color w:val="auto"/>
        </w:rPr>
      </w:pPr>
      <w:r>
        <w:rPr>
          <w:rFonts w:hint="eastAsia"/>
          <w:color w:val="auto"/>
        </w:rPr>
        <w:t>注：本表反映</w:t>
      </w:r>
      <w:r>
        <w:rPr>
          <w:rFonts w:hint="eastAsia"/>
          <w:color w:val="auto"/>
          <w:lang w:val="en-US" w:eastAsia="zh-CN"/>
        </w:rPr>
        <w:t>单位</w:t>
      </w:r>
      <w:r>
        <w:rPr>
          <w:rFonts w:hint="eastAsia"/>
          <w:color w:val="auto"/>
        </w:rPr>
        <w:t>本年度各项支出情况。</w:t>
      </w:r>
    </w:p>
    <w:p>
      <w:pPr>
        <w:ind w:firstLine="3600" w:firstLineChars="1000"/>
        <w:rPr>
          <w:color w:val="auto"/>
        </w:rPr>
      </w:pPr>
      <w:r>
        <w:rPr>
          <w:rFonts w:hint="eastAsia" w:ascii="方正小标宋简体" w:hAnsi="宋体" w:eastAsia="方正小标宋简体" w:cs="宋体"/>
          <w:color w:val="auto"/>
          <w:kern w:val="0"/>
          <w:sz w:val="36"/>
          <w:szCs w:val="36"/>
        </w:rPr>
        <w:t>表四：财政拨款收入支出决算总表</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199"/>
        <w:gridCol w:w="900"/>
        <w:gridCol w:w="1188"/>
        <w:gridCol w:w="3065"/>
        <w:gridCol w:w="681"/>
        <w:gridCol w:w="1267"/>
        <w:gridCol w:w="1149"/>
        <w:gridCol w:w="1316"/>
      </w:tblGrid>
      <w:tr>
        <w:tblPrEx>
          <w:tblCellMar>
            <w:top w:w="0" w:type="dxa"/>
            <w:left w:w="108" w:type="dxa"/>
            <w:bottom w:w="0" w:type="dxa"/>
            <w:right w:w="108" w:type="dxa"/>
          </w:tblCellMar>
        </w:tblPrEx>
        <w:trPr>
          <w:trHeight w:val="300" w:hRule="atLeast"/>
        </w:trPr>
        <w:tc>
          <w:tcPr>
            <w:tcW w:w="6287"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收 入</w:t>
            </w:r>
          </w:p>
        </w:tc>
        <w:tc>
          <w:tcPr>
            <w:tcW w:w="7478"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支 出</w:t>
            </w:r>
          </w:p>
        </w:tc>
      </w:tr>
      <w:tr>
        <w:tblPrEx>
          <w:tblCellMar>
            <w:top w:w="0" w:type="dxa"/>
            <w:left w:w="108" w:type="dxa"/>
            <w:bottom w:w="0" w:type="dxa"/>
            <w:right w:w="108" w:type="dxa"/>
          </w:tblCellMar>
        </w:tblPrEx>
        <w:trPr>
          <w:trHeight w:val="732" w:hRule="atLeast"/>
        </w:trPr>
        <w:tc>
          <w:tcPr>
            <w:tcW w:w="419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 目</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行次</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金额</w:t>
            </w:r>
          </w:p>
        </w:tc>
        <w:tc>
          <w:tcPr>
            <w:tcW w:w="3065"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栏 次</w:t>
            </w:r>
          </w:p>
        </w:tc>
        <w:tc>
          <w:tcPr>
            <w:tcW w:w="9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8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306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一、一般公共预算财政拨款收入</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18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157.75</w:t>
            </w: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18</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140.55</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140.55</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二、政府性基金预算财政拨款收入</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188"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19</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21</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color w:val="auto"/>
              </w:rPr>
              <w:t>七、文化旅游体育与传媒支出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22</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八、社会保障和就业支出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eastAsia="宋体" w:cs="Arial"/>
                <w:color w:val="auto"/>
                <w:kern w:val="0"/>
                <w:sz w:val="22"/>
                <w:szCs w:val="22"/>
                <w:lang w:eastAsia="zh-CN"/>
              </w:rPr>
            </w:pPr>
            <w:r>
              <w:rPr>
                <w:rFonts w:hint="eastAsia" w:ascii="宋体" w:hAnsi="宋体" w:cs="Arial"/>
                <w:color w:val="auto"/>
                <w:kern w:val="0"/>
                <w:sz w:val="22"/>
                <w:szCs w:val="22"/>
                <w:lang w:val="en-US" w:eastAsia="zh-CN"/>
              </w:rPr>
              <w:t>23</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lang w:val="en-US" w:eastAsia="zh-CN"/>
              </w:rPr>
              <w:t>24</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8</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color w:val="auto"/>
              </w:rPr>
              <w:t>十一、城乡社区支出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25</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9</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十二、农林水支出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26</w:t>
            </w:r>
          </w:p>
        </w:tc>
        <w:tc>
          <w:tcPr>
            <w:tcW w:w="1267"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149"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10</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十九、住房保障支出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27</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11</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rPr>
            </w:pPr>
            <w:r>
              <w:rPr>
                <w:rFonts w:hint="eastAsia" w:ascii="宋体" w:hAnsi="宋体" w:cs="Arial"/>
                <w:color w:val="auto"/>
                <w:kern w:val="0"/>
                <w:sz w:val="22"/>
                <w:szCs w:val="22"/>
              </w:rPr>
              <w:t>本年收入合计</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12</w:t>
            </w:r>
          </w:p>
        </w:tc>
        <w:tc>
          <w:tcPr>
            <w:tcW w:w="118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157.75</w:t>
            </w:r>
          </w:p>
        </w:tc>
        <w:tc>
          <w:tcPr>
            <w:tcW w:w="306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155.33</w:t>
            </w:r>
          </w:p>
        </w:tc>
      </w:tr>
      <w:tr>
        <w:tblPrEx>
          <w:tblCellMar>
            <w:top w:w="0" w:type="dxa"/>
            <w:left w:w="108" w:type="dxa"/>
            <w:bottom w:w="0" w:type="dxa"/>
            <w:right w:w="108" w:type="dxa"/>
          </w:tblCellMar>
        </w:tblPrEx>
        <w:trPr>
          <w:trHeight w:val="90" w:hRule="atLeast"/>
        </w:trPr>
        <w:tc>
          <w:tcPr>
            <w:tcW w:w="419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年初财政拨款结转和结余</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13</w:t>
            </w:r>
          </w:p>
        </w:tc>
        <w:tc>
          <w:tcPr>
            <w:tcW w:w="1188"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1540" w:firstLineChars="700"/>
              <w:jc w:val="both"/>
              <w:rPr>
                <w:rFonts w:ascii="宋体" w:hAnsi="宋体" w:cs="Arial"/>
                <w:color w:val="auto"/>
                <w:kern w:val="0"/>
                <w:sz w:val="22"/>
                <w:szCs w:val="22"/>
              </w:rPr>
            </w:pPr>
            <w:r>
              <w:rPr>
                <w:rFonts w:hint="eastAsia" w:ascii="宋体" w:hAnsi="宋体" w:cs="Arial"/>
                <w:color w:val="auto"/>
                <w:kern w:val="0"/>
                <w:sz w:val="22"/>
                <w:szCs w:val="22"/>
              </w:rPr>
              <w:t>2.42</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rPr>
            </w:pPr>
            <w:r>
              <w:rPr>
                <w:rFonts w:hint="eastAsia" w:ascii="宋体" w:hAnsi="宋体" w:cs="Arial"/>
                <w:color w:val="auto"/>
                <w:kern w:val="0"/>
                <w:sz w:val="22"/>
                <w:szCs w:val="22"/>
              </w:rPr>
              <w:t>一般公共预算财政拨款</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14</w:t>
            </w:r>
          </w:p>
        </w:tc>
        <w:tc>
          <w:tcPr>
            <w:tcW w:w="1188"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rPr>
            </w:pPr>
            <w:r>
              <w:rPr>
                <w:rFonts w:hint="eastAsia" w:ascii="宋体" w:hAnsi="宋体" w:cs="Arial"/>
                <w:color w:val="auto"/>
                <w:kern w:val="0"/>
                <w:sz w:val="22"/>
                <w:szCs w:val="22"/>
              </w:rPr>
              <w:t>政府性基金预算财政拨款</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15</w:t>
            </w:r>
          </w:p>
        </w:tc>
        <w:tc>
          <w:tcPr>
            <w:tcW w:w="1188"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16</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17</w:t>
            </w:r>
          </w:p>
        </w:tc>
        <w:tc>
          <w:tcPr>
            <w:tcW w:w="118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157.75</w:t>
            </w:r>
          </w:p>
        </w:tc>
        <w:tc>
          <w:tcPr>
            <w:tcW w:w="306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1540" w:firstLineChars="700"/>
              <w:jc w:val="both"/>
              <w:rPr>
                <w:rFonts w:ascii="宋体" w:hAnsi="宋体" w:cs="Arial"/>
                <w:color w:val="auto"/>
                <w:kern w:val="0"/>
                <w:sz w:val="22"/>
                <w:szCs w:val="22"/>
              </w:rPr>
            </w:pPr>
            <w:r>
              <w:rPr>
                <w:rFonts w:hint="eastAsia" w:ascii="宋体" w:hAnsi="宋体" w:cs="Arial"/>
                <w:color w:val="auto"/>
                <w:kern w:val="0"/>
                <w:sz w:val="22"/>
                <w:szCs w:val="22"/>
                <w:lang w:val="en-US" w:eastAsia="zh-CN"/>
              </w:rPr>
              <w:t>155.33</w:t>
            </w:r>
          </w:p>
        </w:tc>
      </w:tr>
    </w:tbl>
    <w:p>
      <w:pPr>
        <w:jc w:val="right"/>
        <w:rPr>
          <w:color w:val="auto"/>
          <w:sz w:val="22"/>
          <w:szCs w:val="22"/>
        </w:rPr>
      </w:pPr>
      <w:r>
        <w:rPr>
          <w:rFonts w:hint="eastAsia"/>
          <w:color w:val="auto"/>
          <w:sz w:val="22"/>
          <w:szCs w:val="22"/>
        </w:rPr>
        <w:t>单位：万元</w:t>
      </w:r>
    </w:p>
    <w:p>
      <w:pPr>
        <w:rPr>
          <w:color w:val="auto"/>
        </w:rPr>
      </w:pPr>
      <w:r>
        <w:rPr>
          <w:rFonts w:hint="eastAsia"/>
          <w:color w:val="auto"/>
        </w:rPr>
        <w:t>注：本表反映</w:t>
      </w:r>
      <w:r>
        <w:rPr>
          <w:rFonts w:hint="eastAsia"/>
          <w:color w:val="auto"/>
          <w:lang w:val="en-US" w:eastAsia="zh-CN"/>
        </w:rPr>
        <w:t>单位</w:t>
      </w:r>
      <w:r>
        <w:rPr>
          <w:rFonts w:hint="eastAsia"/>
          <w:color w:val="auto"/>
        </w:rPr>
        <w:t>本年度一般公共预算财政拨款和政府性基金预算财政拨款的总收支和年末结转结余情况。</w:t>
      </w:r>
    </w:p>
    <w:p>
      <w:pPr>
        <w:rPr>
          <w:color w:val="auto"/>
        </w:rPr>
      </w:pPr>
    </w:p>
    <w:p>
      <w:pPr>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表五：</w:t>
      </w:r>
      <w:r>
        <w:rPr>
          <w:rFonts w:hint="eastAsia" w:ascii="方正小标宋简体" w:eastAsia="方正小标宋简体"/>
          <w:color w:val="auto"/>
          <w:sz w:val="36"/>
          <w:szCs w:val="36"/>
        </w:rPr>
        <w:t>一般</w:t>
      </w:r>
      <w:r>
        <w:rPr>
          <w:rFonts w:hint="eastAsia" w:ascii="方正小标宋简体" w:hAnsi="宋体" w:eastAsia="方正小标宋简体" w:cs="宋体"/>
          <w:color w:val="auto"/>
          <w:kern w:val="0"/>
          <w:sz w:val="36"/>
          <w:szCs w:val="36"/>
        </w:rPr>
        <w:t>公共预算财政拨款支出决算表</w:t>
      </w:r>
    </w:p>
    <w:tbl>
      <w:tblPr>
        <w:tblStyle w:val="6"/>
        <w:tblpPr w:leftFromText="180" w:rightFromText="180" w:vertAnchor="text" w:horzAnchor="page" w:tblpX="1781" w:tblpY="166"/>
        <w:tblOverlap w:val="never"/>
        <w:tblW w:w="13479" w:type="dxa"/>
        <w:tblInd w:w="0" w:type="dxa"/>
        <w:tblLayout w:type="fixed"/>
        <w:tblCellMar>
          <w:top w:w="0" w:type="dxa"/>
          <w:left w:w="108" w:type="dxa"/>
          <w:bottom w:w="0" w:type="dxa"/>
          <w:right w:w="108" w:type="dxa"/>
        </w:tblCellMar>
      </w:tblPr>
      <w:tblGrid>
        <w:gridCol w:w="1283"/>
        <w:gridCol w:w="4120"/>
        <w:gridCol w:w="1780"/>
        <w:gridCol w:w="2900"/>
        <w:gridCol w:w="3396"/>
      </w:tblGrid>
      <w:tr>
        <w:tblPrEx>
          <w:tblCellMar>
            <w:top w:w="0" w:type="dxa"/>
            <w:left w:w="108" w:type="dxa"/>
            <w:bottom w:w="0" w:type="dxa"/>
            <w:right w:w="108" w:type="dxa"/>
          </w:tblCellMar>
        </w:tblPrEx>
        <w:trPr>
          <w:trHeight w:val="300" w:hRule="atLeast"/>
        </w:trPr>
        <w:tc>
          <w:tcPr>
            <w:tcW w:w="54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cs="Arial"/>
                <w:color w:val="auto"/>
                <w:kern w:val="0"/>
                <w:sz w:val="22"/>
                <w:szCs w:val="22"/>
              </w:rPr>
              <w:t>支出功能</w:t>
            </w:r>
            <w:r>
              <w:rPr>
                <w:rFonts w:hint="eastAsia" w:ascii="MingLiU" w:hAnsi="MingLiU" w:eastAsia="MingLiU" w:cs="Arial"/>
                <w:color w:val="auto"/>
                <w:kern w:val="0"/>
                <w:sz w:val="22"/>
                <w:szCs w:val="22"/>
              </w:rPr>
              <w:t>项 目</w:t>
            </w:r>
          </w:p>
        </w:tc>
        <w:tc>
          <w:tcPr>
            <w:tcW w:w="17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项目支出</w:t>
            </w:r>
          </w:p>
        </w:tc>
      </w:tr>
      <w:tr>
        <w:tblPrEx>
          <w:tblCellMar>
            <w:top w:w="0" w:type="dxa"/>
            <w:left w:w="108" w:type="dxa"/>
            <w:bottom w:w="0" w:type="dxa"/>
            <w:right w:w="108" w:type="dxa"/>
          </w:tblCellMar>
        </w:tblPrEx>
        <w:trPr>
          <w:trHeight w:val="300" w:hRule="atLeast"/>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color w:val="auto"/>
                <w:kern w:val="0"/>
                <w:sz w:val="22"/>
                <w:szCs w:val="22"/>
              </w:rPr>
            </w:pPr>
            <w:r>
              <w:rPr>
                <w:rFonts w:hint="eastAsia" w:ascii="MingLiU" w:hAnsi="MingLiU" w:eastAsia="MingLiU" w:cs="Arial"/>
                <w:color w:val="auto"/>
                <w:kern w:val="0"/>
                <w:sz w:val="22"/>
                <w:szCs w:val="22"/>
              </w:rPr>
              <w:t>科目编码</w:t>
            </w:r>
          </w:p>
        </w:tc>
        <w:tc>
          <w:tcPr>
            <w:tcW w:w="4120" w:type="dxa"/>
            <w:tcBorders>
              <w:top w:val="nil"/>
              <w:left w:val="nil"/>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科目名称</w:t>
            </w: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rPr>
            </w:pPr>
          </w:p>
        </w:tc>
      </w:tr>
      <w:tr>
        <w:tblPrEx>
          <w:tblCellMar>
            <w:top w:w="0" w:type="dxa"/>
            <w:left w:w="108" w:type="dxa"/>
            <w:bottom w:w="0" w:type="dxa"/>
            <w:right w:w="108" w:type="dxa"/>
          </w:tblCellMar>
        </w:tblPrEx>
        <w:trPr>
          <w:trHeight w:val="264" w:hRule="atLeast"/>
        </w:trPr>
        <w:tc>
          <w:tcPr>
            <w:tcW w:w="540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hint="eastAsia" w:ascii="MingLiU" w:hAnsi="MingLiU" w:eastAsia="MingLiU" w:cs="Arial"/>
                <w:b/>
                <w:bCs/>
                <w:color w:val="auto"/>
                <w:kern w:val="0"/>
                <w:sz w:val="18"/>
                <w:szCs w:val="18"/>
              </w:rPr>
              <w:t>栏次</w:t>
            </w:r>
          </w:p>
        </w:tc>
        <w:tc>
          <w:tcPr>
            <w:tcW w:w="1780" w:type="dxa"/>
            <w:tcBorders>
              <w:top w:val="nil"/>
              <w:left w:val="nil"/>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ascii="Arial" w:hAnsi="Arial" w:cs="Arial"/>
                <w:color w:val="auto"/>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ascii="Arial" w:hAnsi="Arial" w:cs="Arial"/>
                <w:color w:val="auto"/>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ascii="Arial" w:hAnsi="Arial" w:cs="Arial"/>
                <w:color w:val="auto"/>
                <w:kern w:val="0"/>
                <w:sz w:val="20"/>
                <w:szCs w:val="20"/>
              </w:rPr>
              <w:t>3</w:t>
            </w:r>
          </w:p>
        </w:tc>
      </w:tr>
      <w:tr>
        <w:tblPrEx>
          <w:tblCellMar>
            <w:top w:w="0" w:type="dxa"/>
            <w:left w:w="108" w:type="dxa"/>
            <w:bottom w:w="0" w:type="dxa"/>
            <w:right w:w="108" w:type="dxa"/>
          </w:tblCellMar>
        </w:tblPrEx>
        <w:trPr>
          <w:trHeight w:val="90" w:hRule="atLeast"/>
        </w:trPr>
        <w:tc>
          <w:tcPr>
            <w:tcW w:w="540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合计</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155.33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34.89</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120.45</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201</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一般公共服务支出</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140.55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20.11</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120.45</w:t>
            </w:r>
          </w:p>
        </w:tc>
      </w:tr>
      <w:tr>
        <w:tblPrEx>
          <w:tblCellMar>
            <w:top w:w="0" w:type="dxa"/>
            <w:left w:w="108" w:type="dxa"/>
            <w:bottom w:w="0" w:type="dxa"/>
            <w:right w:w="108" w:type="dxa"/>
          </w:tblCellMar>
        </w:tblPrEx>
        <w:trPr>
          <w:trHeight w:val="90"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20133</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宣传事务</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140.55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20.11</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120.45</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2013350</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事业运行</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140.55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20.11</w:t>
            </w:r>
          </w:p>
        </w:tc>
        <w:tc>
          <w:tcPr>
            <w:tcW w:w="3396" w:type="dxa"/>
            <w:tcBorders>
              <w:top w:val="nil"/>
              <w:left w:val="nil"/>
              <w:bottom w:val="single" w:color="auto" w:sz="4" w:space="0"/>
              <w:right w:val="single" w:color="auto" w:sz="4" w:space="0"/>
            </w:tcBorders>
            <w:vAlign w:val="top"/>
          </w:tcPr>
          <w:p>
            <w:pPr>
              <w:widowControl/>
              <w:ind w:firstLine="1320" w:firstLineChars="600"/>
              <w:jc w:val="both"/>
              <w:rPr>
                <w:rFonts w:ascii="宋体" w:hAnsi="宋体" w:cs="Arial"/>
                <w:color w:val="auto"/>
                <w:kern w:val="0"/>
                <w:sz w:val="22"/>
                <w:szCs w:val="22"/>
              </w:rPr>
            </w:pPr>
            <w:r>
              <w:rPr>
                <w:rFonts w:hint="eastAsia" w:ascii="宋体" w:hAnsi="宋体" w:cs="Arial"/>
                <w:color w:val="auto"/>
                <w:kern w:val="0"/>
                <w:sz w:val="22"/>
                <w:szCs w:val="22"/>
              </w:rPr>
              <w:t>120.45</w:t>
            </w: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社会保障和就业支出</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357"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行政事业单位养老支出</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6.32</w:t>
            </w:r>
          </w:p>
        </w:tc>
        <w:tc>
          <w:tcPr>
            <w:tcW w:w="3396"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2080505</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机关事业单位基本养老保险缴费支出</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4.57</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4.57</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2080506</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机关事业单位职业年金缴费支出</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1.74</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1.74</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卫生健康支出</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行政事业单位医疗</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2101102</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事业单位医疗</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2.32</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212</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城乡社区支出</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357"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21205</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城乡社区环境卫生</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2120501</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城乡社区环境卫生</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0.01</w:t>
            </w:r>
          </w:p>
        </w:tc>
        <w:tc>
          <w:tcPr>
            <w:tcW w:w="3396" w:type="dxa"/>
            <w:tcBorders>
              <w:top w:val="nil"/>
              <w:left w:val="nil"/>
              <w:bottom w:val="single" w:color="auto" w:sz="4" w:space="0"/>
              <w:right w:val="single" w:color="auto" w:sz="4" w:space="0"/>
            </w:tcBorders>
            <w:vAlign w:val="top"/>
          </w:tcPr>
          <w:p>
            <w:pPr>
              <w:widowControl/>
              <w:ind w:firstLine="1320" w:firstLineChars="600"/>
              <w:jc w:val="both"/>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213</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农林水支出</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21302</w:t>
            </w:r>
          </w:p>
        </w:tc>
        <w:tc>
          <w:tcPr>
            <w:tcW w:w="412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林业和草原</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nil"/>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2130204</w:t>
            </w:r>
          </w:p>
        </w:tc>
        <w:tc>
          <w:tcPr>
            <w:tcW w:w="4120" w:type="dxa"/>
            <w:tcBorders>
              <w:top w:val="nil"/>
              <w:left w:val="nil"/>
              <w:bottom w:val="nil"/>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事业机构</w:t>
            </w:r>
          </w:p>
        </w:tc>
        <w:tc>
          <w:tcPr>
            <w:tcW w:w="1780"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2900"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2.45</w:t>
            </w:r>
          </w:p>
        </w:tc>
        <w:tc>
          <w:tcPr>
            <w:tcW w:w="3396" w:type="dxa"/>
            <w:tcBorders>
              <w:top w:val="nil"/>
              <w:left w:val="nil"/>
              <w:bottom w:val="nil"/>
              <w:right w:val="single" w:color="auto" w:sz="4" w:space="0"/>
            </w:tcBorders>
            <w:vAlign w:val="top"/>
          </w:tcPr>
          <w:p>
            <w:pPr>
              <w:widowControl/>
              <w:ind w:firstLine="1320" w:firstLineChars="600"/>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nil"/>
              <w:right w:val="single" w:color="auto" w:sz="4" w:space="0"/>
            </w:tcBorders>
            <w:vAlign w:val="top"/>
          </w:tcPr>
          <w:p>
            <w:pPr>
              <w:widowControl/>
              <w:jc w:val="left"/>
              <w:rPr>
                <w:rFonts w:hint="eastAsia"/>
                <w:color w:val="auto"/>
              </w:rPr>
            </w:pPr>
            <w:r>
              <w:rPr>
                <w:rFonts w:hint="eastAsia"/>
                <w:color w:val="auto"/>
              </w:rPr>
              <w:t>221</w:t>
            </w:r>
          </w:p>
        </w:tc>
        <w:tc>
          <w:tcPr>
            <w:tcW w:w="4120" w:type="dxa"/>
            <w:tcBorders>
              <w:top w:val="nil"/>
              <w:left w:val="nil"/>
              <w:bottom w:val="nil"/>
              <w:right w:val="single" w:color="auto" w:sz="4" w:space="0"/>
            </w:tcBorders>
            <w:vAlign w:val="top"/>
          </w:tcPr>
          <w:p>
            <w:pPr>
              <w:widowControl/>
              <w:jc w:val="left"/>
              <w:rPr>
                <w:rFonts w:hint="eastAsia"/>
                <w:color w:val="auto"/>
              </w:rPr>
            </w:pPr>
            <w:r>
              <w:rPr>
                <w:rFonts w:hint="eastAsia"/>
                <w:color w:val="auto"/>
              </w:rPr>
              <w:t>住房保障支出</w:t>
            </w:r>
          </w:p>
        </w:tc>
        <w:tc>
          <w:tcPr>
            <w:tcW w:w="1780"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2900"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3396" w:type="dxa"/>
            <w:tcBorders>
              <w:top w:val="nil"/>
              <w:left w:val="nil"/>
              <w:bottom w:val="nil"/>
              <w:right w:val="single" w:color="auto" w:sz="4" w:space="0"/>
            </w:tcBorders>
            <w:vAlign w:val="top"/>
          </w:tcPr>
          <w:p>
            <w:pPr>
              <w:widowControl/>
              <w:ind w:firstLine="1320" w:firstLineChars="600"/>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nil"/>
              <w:right w:val="single" w:color="auto" w:sz="4" w:space="0"/>
            </w:tcBorders>
            <w:vAlign w:val="top"/>
          </w:tcPr>
          <w:p>
            <w:pPr>
              <w:widowControl/>
              <w:jc w:val="left"/>
              <w:rPr>
                <w:rFonts w:hint="eastAsia"/>
                <w:color w:val="auto"/>
              </w:rPr>
            </w:pPr>
            <w:r>
              <w:rPr>
                <w:rFonts w:hint="eastAsia"/>
                <w:color w:val="auto"/>
              </w:rPr>
              <w:t>22102</w:t>
            </w:r>
          </w:p>
        </w:tc>
        <w:tc>
          <w:tcPr>
            <w:tcW w:w="4120" w:type="dxa"/>
            <w:tcBorders>
              <w:top w:val="nil"/>
              <w:left w:val="nil"/>
              <w:bottom w:val="nil"/>
              <w:right w:val="single" w:color="auto" w:sz="4" w:space="0"/>
            </w:tcBorders>
            <w:vAlign w:val="top"/>
          </w:tcPr>
          <w:p>
            <w:pPr>
              <w:widowControl/>
              <w:jc w:val="left"/>
              <w:rPr>
                <w:rFonts w:hint="eastAsia"/>
                <w:color w:val="auto"/>
              </w:rPr>
            </w:pPr>
            <w:r>
              <w:rPr>
                <w:rFonts w:hint="eastAsia"/>
                <w:color w:val="auto"/>
              </w:rPr>
              <w:t>住房改革支出</w:t>
            </w:r>
          </w:p>
        </w:tc>
        <w:tc>
          <w:tcPr>
            <w:tcW w:w="1780"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2900" w:type="dxa"/>
            <w:tcBorders>
              <w:top w:val="nil"/>
              <w:left w:val="nil"/>
              <w:bottom w:val="nil"/>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3396" w:type="dxa"/>
            <w:tcBorders>
              <w:top w:val="nil"/>
              <w:left w:val="nil"/>
              <w:bottom w:val="nil"/>
              <w:right w:val="single" w:color="auto" w:sz="4" w:space="0"/>
            </w:tcBorders>
            <w:vAlign w:val="top"/>
          </w:tcPr>
          <w:p>
            <w:pPr>
              <w:widowControl/>
              <w:ind w:firstLine="1320" w:firstLineChars="600"/>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color w:val="auto"/>
              </w:rPr>
            </w:pPr>
            <w:r>
              <w:rPr>
                <w:rFonts w:hint="eastAsia"/>
                <w:color w:val="auto"/>
              </w:rPr>
              <w:t>2210201</w:t>
            </w:r>
          </w:p>
        </w:tc>
        <w:tc>
          <w:tcPr>
            <w:tcW w:w="4120" w:type="dxa"/>
            <w:tcBorders>
              <w:top w:val="nil"/>
              <w:left w:val="nil"/>
              <w:bottom w:val="single" w:color="auto" w:sz="4" w:space="0"/>
              <w:right w:val="single" w:color="auto" w:sz="4" w:space="0"/>
            </w:tcBorders>
            <w:vAlign w:val="top"/>
          </w:tcPr>
          <w:p>
            <w:pPr>
              <w:widowControl/>
              <w:jc w:val="left"/>
              <w:rPr>
                <w:rFonts w:hint="eastAsia"/>
                <w:color w:val="auto"/>
              </w:rPr>
            </w:pPr>
            <w:r>
              <w:rPr>
                <w:rFonts w:hint="eastAsia"/>
                <w:color w:val="auto"/>
              </w:rPr>
              <w:t xml:space="preserve">  住房公积金</w:t>
            </w:r>
          </w:p>
        </w:tc>
        <w:tc>
          <w:tcPr>
            <w:tcW w:w="178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3.68</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auto"/>
                <w:kern w:val="0"/>
                <w:sz w:val="22"/>
                <w:szCs w:val="22"/>
              </w:rPr>
            </w:pPr>
          </w:p>
        </w:tc>
      </w:tr>
    </w:tbl>
    <w:p>
      <w:pPr>
        <w:jc w:val="both"/>
        <w:rPr>
          <w:rFonts w:ascii="宋体" w:hAnsi="宋体" w:cs="宋体"/>
          <w:color w:val="auto"/>
          <w:kern w:val="0"/>
          <w:sz w:val="22"/>
          <w:szCs w:val="22"/>
        </w:rPr>
      </w:pPr>
      <w:r>
        <w:rPr>
          <w:rFonts w:hint="eastAsia"/>
          <w:color w:val="auto"/>
        </w:rPr>
        <w:t>注：本表反映</w:t>
      </w:r>
      <w:r>
        <w:rPr>
          <w:rFonts w:hint="eastAsia"/>
          <w:color w:val="auto"/>
          <w:lang w:val="en-US" w:eastAsia="zh-CN"/>
        </w:rPr>
        <w:t>单位</w:t>
      </w:r>
      <w:r>
        <w:rPr>
          <w:rFonts w:hint="eastAsia"/>
          <w:color w:val="auto"/>
        </w:rPr>
        <w:t>本年度一般公共预算财政拨款实际支出情况。</w:t>
      </w:r>
      <w:r>
        <w:rPr>
          <w:rFonts w:hint="eastAsia"/>
          <w:color w:val="auto"/>
          <w:lang w:val="en-US" w:eastAsia="zh-CN"/>
        </w:rPr>
        <w:t xml:space="preserve">                                                                </w:t>
      </w:r>
      <w:r>
        <w:rPr>
          <w:rFonts w:hint="eastAsia" w:ascii="宋体" w:hAnsi="宋体" w:cs="宋体"/>
          <w:color w:val="auto"/>
          <w:kern w:val="0"/>
          <w:sz w:val="22"/>
          <w:szCs w:val="22"/>
        </w:rPr>
        <w:t>单位：</w:t>
      </w:r>
      <w:r>
        <w:rPr>
          <w:rFonts w:ascii="宋体" w:hAnsi="宋体" w:cs="宋体"/>
          <w:color w:val="auto"/>
          <w:kern w:val="0"/>
          <w:sz w:val="22"/>
          <w:szCs w:val="22"/>
        </w:rPr>
        <w:t>万元</w:t>
      </w:r>
    </w:p>
    <w:p>
      <w:pPr>
        <w:rPr>
          <w:color w:val="auto"/>
        </w:r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表六：</w:t>
      </w:r>
      <w:r>
        <w:rPr>
          <w:rFonts w:hint="eastAsia" w:ascii="方正小标宋简体" w:eastAsia="方正小标宋简体"/>
          <w:color w:val="auto"/>
          <w:sz w:val="36"/>
          <w:szCs w:val="36"/>
        </w:rPr>
        <w:t>一般</w:t>
      </w:r>
      <w:r>
        <w:rPr>
          <w:rFonts w:hint="eastAsia" w:ascii="方正小标宋简体" w:hAnsi="宋体" w:eastAsia="方正小标宋简体" w:cs="宋体"/>
          <w:color w:val="auto"/>
          <w:kern w:val="0"/>
          <w:sz w:val="36"/>
          <w:szCs w:val="36"/>
        </w:rPr>
        <w:t>公共预算财政拨款基本支出决算表</w:t>
      </w:r>
    </w:p>
    <w:p>
      <w:pPr>
        <w:jc w:val="center"/>
        <w:rPr>
          <w:rFonts w:ascii="方正小标宋简体" w:hAnsi="宋体" w:eastAsia="方正小标宋简体" w:cs="宋体"/>
          <w:color w:val="auto"/>
          <w:kern w:val="0"/>
          <w:sz w:val="36"/>
          <w:szCs w:val="36"/>
        </w:rPr>
      </w:pPr>
    </w:p>
    <w:p>
      <w:pPr>
        <w:ind w:right="330"/>
        <w:jc w:val="right"/>
        <w:rPr>
          <w:rFonts w:ascii="宋体" w:hAnsi="宋体" w:cs="宋体"/>
          <w:color w:val="auto"/>
          <w:kern w:val="0"/>
          <w:sz w:val="22"/>
          <w:szCs w:val="22"/>
        </w:rPr>
      </w:pPr>
      <w:r>
        <w:rPr>
          <w:rFonts w:hint="eastAsia" w:ascii="宋体" w:hAnsi="宋体" w:cs="宋体"/>
          <w:color w:val="auto"/>
          <w:kern w:val="0"/>
          <w:sz w:val="22"/>
          <w:szCs w:val="22"/>
        </w:rPr>
        <w:t>单位：万元</w:t>
      </w:r>
    </w:p>
    <w:tbl>
      <w:tblPr>
        <w:tblStyle w:val="6"/>
        <w:tblW w:w="10676" w:type="dxa"/>
        <w:tblInd w:w="93" w:type="dxa"/>
        <w:tblLayout w:type="fixed"/>
        <w:tblCellMar>
          <w:top w:w="0" w:type="dxa"/>
          <w:left w:w="108" w:type="dxa"/>
          <w:bottom w:w="0" w:type="dxa"/>
          <w:right w:w="108" w:type="dxa"/>
        </w:tblCellMar>
      </w:tblPr>
      <w:tblGrid>
        <w:gridCol w:w="916"/>
        <w:gridCol w:w="2643"/>
        <w:gridCol w:w="1276"/>
        <w:gridCol w:w="1001"/>
        <w:gridCol w:w="1834"/>
        <w:gridCol w:w="1481"/>
        <w:gridCol w:w="1525"/>
      </w:tblGrid>
      <w:tr>
        <w:tblPrEx>
          <w:tblCellMar>
            <w:top w:w="0" w:type="dxa"/>
            <w:left w:w="108" w:type="dxa"/>
            <w:bottom w:w="0" w:type="dxa"/>
            <w:right w:w="108" w:type="dxa"/>
          </w:tblCellMar>
        </w:tblPrEx>
        <w:trPr>
          <w:gridAfter w:val="1"/>
          <w:wAfter w:w="1525" w:type="dxa"/>
          <w:trHeight w:val="564" w:hRule="atLeast"/>
        </w:trPr>
        <w:tc>
          <w:tcPr>
            <w:tcW w:w="48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人员经费</w:t>
            </w:r>
          </w:p>
        </w:tc>
        <w:tc>
          <w:tcPr>
            <w:tcW w:w="43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公用经费</w:t>
            </w:r>
          </w:p>
        </w:tc>
      </w:tr>
      <w:tr>
        <w:tblPrEx>
          <w:tblCellMar>
            <w:top w:w="0" w:type="dxa"/>
            <w:left w:w="108" w:type="dxa"/>
            <w:bottom w:w="0" w:type="dxa"/>
            <w:right w:w="108" w:type="dxa"/>
          </w:tblCellMar>
        </w:tblPrEx>
        <w:trPr>
          <w:gridAfter w:val="1"/>
          <w:wAfter w:w="1525" w:type="dxa"/>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经济分类科目编码</w:t>
            </w:r>
          </w:p>
        </w:tc>
        <w:tc>
          <w:tcPr>
            <w:tcW w:w="2643"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276" w:type="dxa"/>
            <w:tcBorders>
              <w:top w:val="nil"/>
              <w:left w:val="nil"/>
              <w:bottom w:val="single" w:color="auto" w:sz="4" w:space="0"/>
              <w:right w:val="single" w:color="auto" w:sz="4" w:space="0"/>
            </w:tcBorders>
            <w:vAlign w:val="bottom"/>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金额</w:t>
            </w:r>
          </w:p>
        </w:tc>
        <w:tc>
          <w:tcPr>
            <w:tcW w:w="1001"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经济分类科目编码</w:t>
            </w:r>
          </w:p>
        </w:tc>
        <w:tc>
          <w:tcPr>
            <w:tcW w:w="1834"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481"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金额</w:t>
            </w:r>
          </w:p>
        </w:tc>
      </w:tr>
      <w:tr>
        <w:tblPrEx>
          <w:tblCellMar>
            <w:top w:w="0" w:type="dxa"/>
            <w:left w:w="108" w:type="dxa"/>
            <w:bottom w:w="0" w:type="dxa"/>
            <w:right w:w="108" w:type="dxa"/>
          </w:tblCellMar>
        </w:tblPrEx>
        <w:trPr>
          <w:gridAfter w:val="1"/>
          <w:wAfter w:w="1525"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工资福利支出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30.11</w:t>
            </w:r>
          </w:p>
        </w:tc>
        <w:tc>
          <w:tcPr>
            <w:tcW w:w="1001"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302</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商品和服务支出</w:t>
            </w:r>
            <w:r>
              <w:rPr>
                <w:rFonts w:ascii="宋体" w:hAnsi="宋体" w:cs="Arial"/>
                <w:color w:val="auto"/>
                <w:kern w:val="0"/>
                <w:sz w:val="22"/>
                <w:szCs w:val="22"/>
              </w:rPr>
              <w:t>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4.77</w:t>
            </w:r>
          </w:p>
        </w:tc>
      </w:tr>
      <w:tr>
        <w:tblPrEx>
          <w:tblCellMar>
            <w:top w:w="0" w:type="dxa"/>
            <w:left w:w="108" w:type="dxa"/>
            <w:bottom w:w="0" w:type="dxa"/>
            <w:right w:w="108" w:type="dxa"/>
          </w:tblCellMar>
        </w:tblPrEx>
        <w:trPr>
          <w:gridAfter w:val="1"/>
          <w:wAfter w:w="1525"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基本工资</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7.69</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30201</w:t>
            </w:r>
          </w:p>
        </w:tc>
        <w:tc>
          <w:tcPr>
            <w:tcW w:w="183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办公费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1.60</w:t>
            </w:r>
          </w:p>
        </w:tc>
      </w:tr>
      <w:tr>
        <w:tblPrEx>
          <w:tblCellMar>
            <w:top w:w="0" w:type="dxa"/>
            <w:left w:w="108" w:type="dxa"/>
            <w:bottom w:w="0" w:type="dxa"/>
            <w:right w:w="108" w:type="dxa"/>
          </w:tblCellMar>
        </w:tblPrEx>
        <w:trPr>
          <w:gridAfter w:val="1"/>
          <w:wAfter w:w="1525"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津贴补贴</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30202</w:t>
            </w:r>
          </w:p>
        </w:tc>
        <w:tc>
          <w:tcPr>
            <w:tcW w:w="183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印刷费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资金  </w:t>
            </w:r>
            <w:r>
              <w:rPr>
                <w:rFonts w:ascii="宋体" w:hAnsi="宋体" w:cs="Arial"/>
                <w:color w:val="auto"/>
                <w:kern w:val="0"/>
                <w:sz w:val="22"/>
                <w:szCs w:val="22"/>
              </w:rPr>
              <w:t>　</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3.22</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30207</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邮电费</w:t>
            </w:r>
            <w:r>
              <w:rPr>
                <w:rFonts w:ascii="宋体" w:hAnsi="宋体" w:cs="Arial"/>
                <w:color w:val="auto"/>
                <w:kern w:val="0"/>
                <w:sz w:val="22"/>
                <w:szCs w:val="22"/>
              </w:rPr>
              <w:t>　</w:t>
            </w:r>
          </w:p>
        </w:tc>
        <w:tc>
          <w:tcPr>
            <w:tcW w:w="1481" w:type="dxa"/>
            <w:tcBorders>
              <w:top w:val="nil"/>
              <w:left w:val="nil"/>
              <w:bottom w:val="single" w:color="auto" w:sz="4" w:space="0"/>
              <w:right w:val="single" w:color="auto" w:sz="4" w:space="0"/>
            </w:tcBorders>
            <w:vAlign w:val="center"/>
          </w:tcPr>
          <w:p>
            <w:pPr>
              <w:rPr>
                <w:rFonts w:hint="eastAsia" w:ascii="宋体" w:hAnsi="宋体" w:cs="Arial"/>
                <w:color w:val="auto"/>
                <w:kern w:val="0"/>
                <w:sz w:val="22"/>
                <w:szCs w:val="22"/>
              </w:rPr>
            </w:pPr>
            <w:r>
              <w:rPr>
                <w:rFonts w:hint="eastAsia" w:ascii="宋体" w:hAnsi="宋体" w:cs="Arial"/>
                <w:color w:val="auto"/>
                <w:kern w:val="0"/>
                <w:sz w:val="22"/>
                <w:szCs w:val="22"/>
              </w:rPr>
              <w:t>0.13</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30106</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伙食补助费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rPr>
            </w:pPr>
            <w:r>
              <w:rPr>
                <w:rFonts w:hint="eastAsia" w:ascii="宋体" w:hAnsi="宋体" w:cs="Arial"/>
                <w:color w:val="auto"/>
                <w:kern w:val="0"/>
                <w:sz w:val="22"/>
                <w:szCs w:val="22"/>
              </w:rPr>
              <w:t>0.10</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30209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物业管理费</w:t>
            </w:r>
            <w:r>
              <w:rPr>
                <w:rFonts w:ascii="宋体" w:hAnsi="宋体" w:cs="Arial"/>
                <w:color w:val="auto"/>
                <w:kern w:val="0"/>
                <w:sz w:val="22"/>
                <w:szCs w:val="22"/>
              </w:rPr>
              <w:t>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0.38</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30107</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绩效工资</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1.20</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30211</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差旅费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0.68</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 xml:space="preserve"> 30108</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机关事业单位基本养老保险缴费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5.44</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30212</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因公出国（境）费用</w:t>
            </w:r>
          </w:p>
        </w:tc>
        <w:tc>
          <w:tcPr>
            <w:tcW w:w="1481" w:type="dxa"/>
            <w:tcBorders>
              <w:top w:val="nil"/>
              <w:left w:val="nil"/>
              <w:bottom w:val="single" w:color="auto" w:sz="4" w:space="0"/>
              <w:right w:val="single" w:color="auto" w:sz="4" w:space="0"/>
            </w:tcBorders>
            <w:vAlign w:val="center"/>
          </w:tcPr>
          <w:p>
            <w:pP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职业年金缴费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0.75</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30213</w:t>
            </w:r>
          </w:p>
        </w:tc>
        <w:tc>
          <w:tcPr>
            <w:tcW w:w="1834"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维修（护）费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0.05</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30110</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职工基本医疗保障缴费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5.19</w:t>
            </w:r>
          </w:p>
        </w:tc>
        <w:tc>
          <w:tcPr>
            <w:tcW w:w="1001" w:type="dxa"/>
            <w:tcBorders>
              <w:top w:val="nil"/>
              <w:left w:val="nil"/>
              <w:bottom w:val="single" w:color="auto" w:sz="4" w:space="0"/>
              <w:right w:val="single" w:color="auto" w:sz="4" w:space="0"/>
            </w:tcBorders>
            <w:vAlign w:val="center"/>
          </w:tcPr>
          <w:p>
            <w:pPr>
              <w:widowControl/>
              <w:ind w:firstLine="110" w:firstLineChars="50"/>
              <w:jc w:val="center"/>
              <w:rPr>
                <w:rFonts w:hint="eastAsia" w:ascii="宋体" w:hAnsi="宋体" w:cs="Arial"/>
                <w:color w:val="auto"/>
                <w:kern w:val="0"/>
                <w:sz w:val="22"/>
                <w:szCs w:val="22"/>
              </w:rPr>
            </w:pPr>
            <w:r>
              <w:rPr>
                <w:rFonts w:hint="eastAsia" w:ascii="宋体" w:hAnsi="宋体" w:cs="Arial"/>
                <w:color w:val="auto"/>
                <w:kern w:val="0"/>
                <w:sz w:val="22"/>
                <w:szCs w:val="22"/>
              </w:rPr>
              <w:t>30214</w:t>
            </w:r>
          </w:p>
        </w:tc>
        <w:tc>
          <w:tcPr>
            <w:tcW w:w="1834" w:type="dxa"/>
            <w:tcBorders>
              <w:top w:val="nil"/>
              <w:left w:val="nil"/>
              <w:bottom w:val="single" w:color="auto" w:sz="4" w:space="0"/>
              <w:right w:val="single" w:color="auto" w:sz="4" w:space="0"/>
            </w:tcBorders>
            <w:vAlign w:val="center"/>
          </w:tcPr>
          <w:p>
            <w:pPr>
              <w:widowControl/>
              <w:ind w:firstLine="220" w:firstLineChars="100"/>
              <w:rPr>
                <w:rFonts w:hint="eastAsia" w:ascii="宋体" w:hAnsi="宋体" w:cs="Arial"/>
                <w:color w:val="auto"/>
                <w:kern w:val="0"/>
                <w:sz w:val="22"/>
                <w:szCs w:val="22"/>
              </w:rPr>
            </w:pPr>
            <w:r>
              <w:rPr>
                <w:rFonts w:hint="eastAsia" w:ascii="宋体" w:hAnsi="宋体" w:cs="Arial"/>
                <w:color w:val="auto"/>
                <w:kern w:val="0"/>
                <w:sz w:val="22"/>
                <w:szCs w:val="22"/>
              </w:rPr>
              <w:t>租赁费</w:t>
            </w:r>
          </w:p>
        </w:tc>
        <w:tc>
          <w:tcPr>
            <w:tcW w:w="1481" w:type="dxa"/>
            <w:tcBorders>
              <w:top w:val="nil"/>
              <w:left w:val="nil"/>
              <w:bottom w:val="single" w:color="auto" w:sz="4" w:space="0"/>
              <w:right w:val="single" w:color="auto" w:sz="4" w:space="0"/>
            </w:tcBorders>
            <w:vAlign w:val="center"/>
          </w:tcPr>
          <w:p>
            <w:pP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30111</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公务员医疗补助缴费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0.91</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30215</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lang w:eastAsia="zh-CN"/>
              </w:rPr>
              <w:t>培训</w:t>
            </w:r>
            <w:r>
              <w:rPr>
                <w:rFonts w:hint="eastAsia" w:ascii="宋体" w:hAnsi="宋体" w:cs="Arial"/>
                <w:color w:val="auto"/>
                <w:kern w:val="0"/>
                <w:sz w:val="22"/>
                <w:szCs w:val="22"/>
              </w:rPr>
              <w:t>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0.07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30113</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住房公积金</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5.62</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30217</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公务接待费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rPr>
            </w:pPr>
            <w:r>
              <w:rPr>
                <w:rFonts w:hint="eastAsia" w:ascii="宋体" w:hAnsi="宋体" w:cs="Arial"/>
                <w:color w:val="auto"/>
                <w:kern w:val="0"/>
                <w:sz w:val="22"/>
                <w:szCs w:val="22"/>
              </w:rPr>
              <w:t>0.07</w:t>
            </w:r>
          </w:p>
        </w:tc>
        <w:tc>
          <w:tcPr>
            <w:tcW w:w="1525" w:type="dxa"/>
            <w:vAlign w:val="center"/>
          </w:tcPr>
          <w:p>
            <w:pPr>
              <w:widowControl/>
              <w:jc w:val="center"/>
              <w:rPr>
                <w:color w:val="auto"/>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30114</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医疗费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30226</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劳务费</w:t>
            </w:r>
          </w:p>
        </w:tc>
        <w:tc>
          <w:tcPr>
            <w:tcW w:w="1481" w:type="dxa"/>
            <w:tcBorders>
              <w:top w:val="nil"/>
              <w:left w:val="nil"/>
              <w:bottom w:val="single" w:color="auto" w:sz="4" w:space="0"/>
              <w:right w:val="single" w:color="auto" w:sz="4" w:space="0"/>
            </w:tcBorders>
            <w:vAlign w:val="center"/>
          </w:tcPr>
          <w:p>
            <w:pPr>
              <w:rPr>
                <w:rFonts w:hint="eastAsia" w:ascii="宋体" w:hAnsi="宋体" w:cs="Arial"/>
                <w:color w:val="auto"/>
                <w:kern w:val="0"/>
                <w:sz w:val="22"/>
                <w:szCs w:val="22"/>
              </w:rPr>
            </w:pPr>
          </w:p>
        </w:tc>
        <w:tc>
          <w:tcPr>
            <w:tcW w:w="1525" w:type="dxa"/>
            <w:vAlign w:val="bottom"/>
          </w:tcPr>
          <w:p>
            <w:pPr>
              <w:widowControl/>
              <w:jc w:val="center"/>
              <w:rPr>
                <w:color w:val="auto"/>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30199</w:t>
            </w:r>
          </w:p>
        </w:tc>
        <w:tc>
          <w:tcPr>
            <w:tcW w:w="2643"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其他工资福利支出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30227</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委托业务费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0.38</w:t>
            </w:r>
          </w:p>
        </w:tc>
        <w:tc>
          <w:tcPr>
            <w:tcW w:w="1525" w:type="dxa"/>
            <w:vAlign w:val="bottom"/>
          </w:tcPr>
          <w:p>
            <w:pPr>
              <w:widowControl/>
              <w:jc w:val="center"/>
              <w:rPr>
                <w:color w:val="auto"/>
              </w:rPr>
            </w:pPr>
          </w:p>
        </w:tc>
      </w:tr>
      <w:tr>
        <w:tblPrEx>
          <w:tblCellMar>
            <w:top w:w="0" w:type="dxa"/>
            <w:left w:w="108" w:type="dxa"/>
            <w:bottom w:w="0" w:type="dxa"/>
            <w:right w:w="108" w:type="dxa"/>
          </w:tblCellMar>
        </w:tblPrEx>
        <w:trPr>
          <w:trHeight w:val="335"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对个人和家庭的补助</w:t>
            </w:r>
            <w:r>
              <w:rPr>
                <w:rFonts w:ascii="宋体" w:hAnsi="宋体" w:cs="Arial"/>
                <w:color w:val="auto"/>
                <w:kern w:val="0"/>
                <w:sz w:val="22"/>
                <w:szCs w:val="22"/>
              </w:rPr>
              <w:t>　</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30228</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工会经费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0.44</w:t>
            </w:r>
          </w:p>
        </w:tc>
        <w:tc>
          <w:tcPr>
            <w:tcW w:w="1525" w:type="dxa"/>
            <w:vAlign w:val="bottom"/>
          </w:tcPr>
          <w:p>
            <w:pPr>
              <w:widowControl/>
              <w:jc w:val="center"/>
              <w:rPr>
                <w:color w:val="auto"/>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30301</w:t>
            </w:r>
          </w:p>
        </w:tc>
        <w:tc>
          <w:tcPr>
            <w:tcW w:w="2643" w:type="dxa"/>
            <w:tcBorders>
              <w:top w:val="nil"/>
              <w:left w:val="nil"/>
              <w:bottom w:val="single" w:color="auto" w:sz="4" w:space="0"/>
              <w:right w:val="single" w:color="auto" w:sz="4" w:space="0"/>
            </w:tcBorders>
            <w:vAlign w:val="center"/>
          </w:tcPr>
          <w:p>
            <w:pPr>
              <w:widowControl/>
              <w:ind w:firstLine="220" w:firstLineChars="100"/>
              <w:rPr>
                <w:rFonts w:ascii="宋体" w:hAnsi="宋体" w:cs="Arial"/>
                <w:color w:val="auto"/>
                <w:kern w:val="0"/>
                <w:sz w:val="22"/>
                <w:szCs w:val="22"/>
              </w:rPr>
            </w:pPr>
            <w:r>
              <w:rPr>
                <w:rFonts w:hint="eastAsia" w:ascii="宋体" w:hAnsi="宋体" w:cs="Arial"/>
                <w:color w:val="auto"/>
                <w:kern w:val="0"/>
                <w:sz w:val="22"/>
                <w:szCs w:val="22"/>
              </w:rPr>
              <w:t>离休费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30229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福利费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30302</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退休费</w:t>
            </w:r>
            <w:r>
              <w:rPr>
                <w:rFonts w:ascii="宋体" w:hAnsi="宋体" w:cs="Arial"/>
                <w:color w:val="auto"/>
                <w:kern w:val="0"/>
                <w:sz w:val="22"/>
                <w:szCs w:val="22"/>
              </w:rPr>
              <w:t>　</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center"/>
          </w:tcPr>
          <w:p>
            <w:pPr>
              <w:widowControl/>
              <w:ind w:firstLine="110" w:firstLineChars="50"/>
              <w:jc w:val="center"/>
              <w:rPr>
                <w:rFonts w:ascii="宋体" w:hAnsi="宋体" w:cs="Arial"/>
                <w:color w:val="auto"/>
                <w:kern w:val="0"/>
                <w:sz w:val="22"/>
                <w:szCs w:val="22"/>
              </w:rPr>
            </w:pPr>
            <w:r>
              <w:rPr>
                <w:rFonts w:hint="eastAsia" w:ascii="宋体" w:hAnsi="宋体" w:cs="Arial"/>
                <w:color w:val="auto"/>
                <w:kern w:val="0"/>
                <w:sz w:val="22"/>
                <w:szCs w:val="22"/>
              </w:rPr>
              <w:t>30231</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公务用车运行维护费</w:t>
            </w:r>
          </w:p>
        </w:tc>
        <w:tc>
          <w:tcPr>
            <w:tcW w:w="1481" w:type="dxa"/>
            <w:tcBorders>
              <w:top w:val="nil"/>
              <w:left w:val="nil"/>
              <w:bottom w:val="single" w:color="auto" w:sz="4" w:space="0"/>
              <w:right w:val="single" w:color="auto" w:sz="4" w:space="0"/>
            </w:tcBorders>
            <w:vAlign w:val="bottom"/>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30305</w:t>
            </w:r>
          </w:p>
        </w:tc>
        <w:tc>
          <w:tcPr>
            <w:tcW w:w="2643" w:type="dxa"/>
            <w:tcBorders>
              <w:top w:val="nil"/>
              <w:left w:val="nil"/>
              <w:bottom w:val="single" w:color="auto" w:sz="4" w:space="0"/>
              <w:right w:val="single" w:color="auto" w:sz="4" w:space="0"/>
            </w:tcBorders>
            <w:vAlign w:val="center"/>
          </w:tcPr>
          <w:p>
            <w:pPr>
              <w:widowControl/>
              <w:ind w:firstLine="220" w:firstLineChars="100"/>
              <w:rPr>
                <w:rFonts w:ascii="宋体" w:hAnsi="宋体" w:cs="Arial"/>
                <w:color w:val="auto"/>
                <w:kern w:val="0"/>
                <w:sz w:val="22"/>
                <w:szCs w:val="22"/>
              </w:rPr>
            </w:pPr>
            <w:r>
              <w:rPr>
                <w:rFonts w:hint="eastAsia" w:ascii="宋体" w:hAnsi="宋体" w:cs="Arial"/>
                <w:color w:val="auto"/>
                <w:kern w:val="0"/>
                <w:sz w:val="22"/>
                <w:szCs w:val="22"/>
              </w:rPr>
              <w:t>生活补助</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30239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其他交通费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30307</w:t>
            </w:r>
          </w:p>
        </w:tc>
        <w:tc>
          <w:tcPr>
            <w:tcW w:w="2643" w:type="dxa"/>
            <w:tcBorders>
              <w:top w:val="nil"/>
              <w:left w:val="nil"/>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医疗费补助</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center"/>
          </w:tcPr>
          <w:p>
            <w:pPr>
              <w:widowControl/>
              <w:ind w:firstLine="110" w:firstLineChars="50"/>
              <w:jc w:val="center"/>
              <w:rPr>
                <w:rFonts w:ascii="宋体" w:hAnsi="宋体" w:cs="Arial"/>
                <w:color w:val="auto"/>
                <w:kern w:val="0"/>
                <w:sz w:val="22"/>
                <w:szCs w:val="22"/>
              </w:rPr>
            </w:pPr>
            <w:r>
              <w:rPr>
                <w:rFonts w:hint="eastAsia" w:ascii="宋体" w:hAnsi="宋体" w:cs="Arial"/>
                <w:color w:val="auto"/>
                <w:kern w:val="0"/>
                <w:sz w:val="22"/>
                <w:szCs w:val="22"/>
              </w:rPr>
              <w:t>30240</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税金及附加费用</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30399</w:t>
            </w:r>
          </w:p>
        </w:tc>
        <w:tc>
          <w:tcPr>
            <w:tcW w:w="2643" w:type="dxa"/>
            <w:tcBorders>
              <w:top w:val="nil"/>
              <w:left w:val="nil"/>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其他对个人和家庭的补助</w:t>
            </w:r>
          </w:p>
        </w:tc>
        <w:tc>
          <w:tcPr>
            <w:tcW w:w="1276" w:type="dxa"/>
            <w:tcBorders>
              <w:top w:val="nil"/>
              <w:left w:val="nil"/>
              <w:bottom w:val="single" w:color="auto" w:sz="4" w:space="0"/>
              <w:right w:val="single" w:color="auto" w:sz="4" w:space="0"/>
            </w:tcBorders>
            <w:vAlign w:val="bottom"/>
          </w:tcPr>
          <w:p>
            <w:pPr>
              <w:widowControl/>
              <w:jc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30299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其他商品和服务支出</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0.97</w:t>
            </w:r>
          </w:p>
        </w:tc>
      </w:tr>
      <w:tr>
        <w:tblPrEx>
          <w:tblCellMar>
            <w:top w:w="0" w:type="dxa"/>
            <w:left w:w="108" w:type="dxa"/>
            <w:bottom w:w="0" w:type="dxa"/>
            <w:right w:w="108" w:type="dxa"/>
          </w:tblCellMar>
        </w:tblPrEx>
        <w:trPr>
          <w:gridAfter w:val="1"/>
          <w:wAfter w:w="1525" w:type="dxa"/>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人员经费合计</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30.11</w:t>
            </w:r>
          </w:p>
        </w:tc>
        <w:tc>
          <w:tcPr>
            <w:tcW w:w="283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公用经费合计</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4.77</w:t>
            </w:r>
          </w:p>
        </w:tc>
      </w:tr>
    </w:tbl>
    <w:p>
      <w:pPr>
        <w:rPr>
          <w:color w:val="auto"/>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color w:val="auto"/>
        </w:rPr>
        <w:t>注：本表反映</w:t>
      </w:r>
      <w:r>
        <w:rPr>
          <w:rFonts w:hint="eastAsia"/>
          <w:color w:val="auto"/>
          <w:lang w:val="en-US" w:eastAsia="zh-CN"/>
        </w:rPr>
        <w:t>单位</w:t>
      </w:r>
      <w:r>
        <w:rPr>
          <w:rFonts w:hint="eastAsia"/>
          <w:color w:val="auto"/>
        </w:rPr>
        <w:t>本年度一般公共预算财政拨款基本支出明细情况。</w:t>
      </w:r>
    </w:p>
    <w:p>
      <w:pPr>
        <w:jc w:val="center"/>
        <w:rPr>
          <w:rFonts w:ascii="方正小标宋简体" w:hAnsi="宋体" w:eastAsia="方正小标宋简体" w:cs="宋体"/>
          <w:color w:val="auto"/>
          <w:kern w:val="0"/>
          <w:sz w:val="36"/>
          <w:szCs w:val="36"/>
        </w:rPr>
      </w:pPr>
    </w:p>
    <w:p>
      <w:pPr>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表七：</w:t>
      </w:r>
      <w:r>
        <w:rPr>
          <w:rFonts w:hint="eastAsia" w:ascii="方正小标宋简体" w:eastAsia="方正小标宋简体"/>
          <w:color w:val="auto"/>
          <w:sz w:val="36"/>
          <w:szCs w:val="36"/>
        </w:rPr>
        <w:t>一般</w:t>
      </w:r>
      <w:r>
        <w:rPr>
          <w:rFonts w:hint="eastAsia" w:ascii="方正小标宋简体" w:hAnsi="宋体" w:eastAsia="方正小标宋简体" w:cs="宋体"/>
          <w:color w:val="auto"/>
          <w:kern w:val="0"/>
          <w:sz w:val="36"/>
          <w:szCs w:val="36"/>
        </w:rPr>
        <w:t>公共预算财政拨款安排的“</w:t>
      </w:r>
      <w:r>
        <w:rPr>
          <w:rFonts w:ascii="方正小标宋简体" w:hAnsi="宋体" w:eastAsia="方正小标宋简体" w:cs="宋体"/>
          <w:color w:val="auto"/>
          <w:kern w:val="0"/>
          <w:sz w:val="36"/>
          <w:szCs w:val="36"/>
        </w:rPr>
        <w:t>三公</w:t>
      </w:r>
      <w:r>
        <w:rPr>
          <w:rFonts w:hint="eastAsia" w:ascii="方正小标宋简体" w:hAnsi="宋体" w:eastAsia="方正小标宋简体" w:cs="宋体"/>
          <w:color w:val="auto"/>
          <w:kern w:val="0"/>
          <w:sz w:val="36"/>
          <w:szCs w:val="36"/>
        </w:rPr>
        <w:t>”</w:t>
      </w:r>
      <w:r>
        <w:rPr>
          <w:rFonts w:ascii="方正小标宋简体" w:hAnsi="宋体" w:eastAsia="方正小标宋简体" w:cs="宋体"/>
          <w:color w:val="auto"/>
          <w:kern w:val="0"/>
          <w:sz w:val="36"/>
          <w:szCs w:val="36"/>
        </w:rPr>
        <w:t>经费</w:t>
      </w:r>
      <w:r>
        <w:rPr>
          <w:rFonts w:hint="eastAsia" w:ascii="方正小标宋简体" w:hAnsi="宋体" w:eastAsia="方正小标宋简体" w:cs="宋体"/>
          <w:color w:val="auto"/>
          <w:kern w:val="0"/>
          <w:sz w:val="36"/>
          <w:szCs w:val="36"/>
        </w:rPr>
        <w:t>支出决算表</w:t>
      </w:r>
    </w:p>
    <w:p>
      <w:pPr>
        <w:rPr>
          <w:color w:val="auto"/>
        </w:rPr>
      </w:pPr>
    </w:p>
    <w:p>
      <w:pPr>
        <w:jc w:val="right"/>
        <w:rPr>
          <w:color w:val="auto"/>
        </w:rPr>
      </w:pPr>
      <w:r>
        <w:rPr>
          <w:rFonts w:hint="eastAsia"/>
          <w:color w:val="auto"/>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eastAsia="宋体" w:cs="Arial"/>
                <w:color w:val="auto"/>
                <w:kern w:val="0"/>
                <w:sz w:val="20"/>
                <w:szCs w:val="20"/>
                <w:lang w:val="en-US" w:eastAsia="zh-CN"/>
              </w:rPr>
            </w:pPr>
            <w:r>
              <w:rPr>
                <w:rFonts w:hint="eastAsia" w:ascii="Arial" w:hAnsi="Arial" w:cs="Arial"/>
                <w:color w:val="auto"/>
                <w:kern w:val="0"/>
                <w:sz w:val="20"/>
                <w:szCs w:val="20"/>
                <w:lang w:val="en-US" w:eastAsia="zh-CN"/>
              </w:rPr>
              <w:t>0.11</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rPr>
            </w:pPr>
            <w:r>
              <w:rPr>
                <w:rFonts w:ascii="Arial" w:hAnsi="Arial" w:cs="Arial"/>
                <w:color w:val="auto"/>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rPr>
            </w:pPr>
            <w:r>
              <w:rPr>
                <w:rFonts w:ascii="Arial" w:hAnsi="Arial" w:cs="Arial"/>
                <w:color w:val="auto"/>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auto"/>
                <w:kern w:val="0"/>
                <w:sz w:val="20"/>
                <w:szCs w:val="20"/>
              </w:rPr>
            </w:pPr>
            <w:r>
              <w:rPr>
                <w:rFonts w:ascii="Arial" w:hAnsi="Arial" w:cs="Arial"/>
                <w:color w:val="auto"/>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auto"/>
                <w:kern w:val="0"/>
                <w:sz w:val="20"/>
                <w:szCs w:val="20"/>
              </w:rPr>
            </w:pPr>
            <w:r>
              <w:rPr>
                <w:rFonts w:ascii="Arial" w:hAnsi="Arial" w:cs="Arial"/>
                <w:color w:val="auto"/>
                <w:kern w:val="0"/>
                <w:sz w:val="20"/>
                <w:szCs w:val="20"/>
              </w:rPr>
              <w:t>　</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eastAsia="宋体" w:cs="Arial"/>
                <w:color w:val="auto"/>
                <w:kern w:val="0"/>
                <w:sz w:val="20"/>
                <w:szCs w:val="20"/>
                <w:lang w:val="en-US" w:eastAsia="zh-CN"/>
              </w:rPr>
            </w:pPr>
            <w:r>
              <w:rPr>
                <w:rFonts w:hint="eastAsia" w:ascii="Arial" w:hAnsi="Arial" w:cs="Arial"/>
                <w:color w:val="auto"/>
                <w:kern w:val="0"/>
                <w:sz w:val="20"/>
                <w:szCs w:val="20"/>
                <w:lang w:val="en-US" w:eastAsia="zh-CN"/>
              </w:rPr>
              <w:t>0.11</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auto"/>
                <w:kern w:val="0"/>
                <w:sz w:val="20"/>
                <w:szCs w:val="20"/>
                <w:lang w:val="en-US"/>
              </w:rPr>
            </w:pPr>
            <w:r>
              <w:rPr>
                <w:rFonts w:hint="eastAsia" w:ascii="宋体" w:hAnsi="宋体" w:cs="宋体"/>
                <w:i w:val="0"/>
                <w:color w:val="auto"/>
                <w:kern w:val="0"/>
                <w:sz w:val="22"/>
                <w:szCs w:val="22"/>
                <w:u w:val="none"/>
                <w:lang w:val="en-US" w:eastAsia="zh-CN" w:bidi="ar"/>
              </w:rPr>
              <w:t>0.07</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auto"/>
                <w:kern w:val="0"/>
                <w:sz w:val="20"/>
                <w:szCs w:val="20"/>
              </w:rPr>
            </w:pP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rPr>
            </w:pPr>
            <w:r>
              <w:rPr>
                <w:rFonts w:ascii="Arial" w:hAnsi="Arial" w:cs="Arial"/>
                <w:color w:val="auto"/>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auto"/>
                <w:kern w:val="0"/>
                <w:sz w:val="20"/>
                <w:szCs w:val="20"/>
              </w:rPr>
            </w:pPr>
            <w:r>
              <w:rPr>
                <w:rFonts w:ascii="Arial" w:hAnsi="Arial" w:cs="Arial"/>
                <w:color w:val="auto"/>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auto"/>
                <w:kern w:val="0"/>
                <w:sz w:val="20"/>
                <w:szCs w:val="20"/>
              </w:rPr>
            </w:pPr>
            <w:r>
              <w:rPr>
                <w:rFonts w:ascii="Arial" w:hAnsi="Arial" w:cs="Arial"/>
                <w:color w:val="auto"/>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rPr>
            </w:pPr>
            <w:r>
              <w:rPr>
                <w:rFonts w:ascii="Arial" w:hAnsi="Arial" w:cs="Arial"/>
                <w:color w:val="auto"/>
                <w:kern w:val="0"/>
                <w:sz w:val="20"/>
                <w:szCs w:val="20"/>
              </w:rPr>
              <w:t>　</w:t>
            </w:r>
            <w:r>
              <w:rPr>
                <w:rFonts w:hint="eastAsia" w:ascii="宋体" w:hAnsi="宋体" w:cs="宋体"/>
                <w:i w:val="0"/>
                <w:color w:val="auto"/>
                <w:kern w:val="0"/>
                <w:sz w:val="22"/>
                <w:szCs w:val="22"/>
                <w:u w:val="none"/>
                <w:lang w:val="en-US" w:eastAsia="zh-CN" w:bidi="ar"/>
              </w:rPr>
              <w:t>0.07</w:t>
            </w:r>
          </w:p>
        </w:tc>
      </w:tr>
    </w:tbl>
    <w:p>
      <w:pPr>
        <w:rPr>
          <w:color w:val="auto"/>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color w:val="auto"/>
        </w:rPr>
        <w:t>注：本表反映</w:t>
      </w:r>
      <w:r>
        <w:rPr>
          <w:rFonts w:hint="eastAsia"/>
          <w:color w:val="auto"/>
          <w:lang w:val="en-US" w:eastAsia="zh-CN"/>
        </w:rPr>
        <w:t>单位</w:t>
      </w:r>
      <w:r>
        <w:rPr>
          <w:rFonts w:hint="eastAsia"/>
          <w:color w:val="auto"/>
        </w:rPr>
        <w:t>本年度“三公”经费支出预决算情况。其中，2020年度预算数为“三公”经费年初预算数，决算数是包括当年一般公共预算财政拨款和以前年度结转资金安排的实际支出。</w:t>
      </w:r>
    </w:p>
    <w:p>
      <w:pPr>
        <w:rPr>
          <w:color w:val="auto"/>
        </w:rPr>
      </w:pPr>
    </w:p>
    <w:p>
      <w:pPr>
        <w:rPr>
          <w:color w:val="auto"/>
        </w:rPr>
      </w:pP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385" w:type="dxa"/>
            <w:tcBorders>
              <w:top w:val="nil"/>
              <w:left w:val="nil"/>
              <w:bottom w:val="nil"/>
              <w:right w:val="nil"/>
            </w:tcBorders>
            <w:vAlign w:val="bottom"/>
          </w:tcPr>
          <w:p>
            <w:pPr>
              <w:widowControl/>
              <w:jc w:val="left"/>
              <w:rPr>
                <w:rFonts w:ascii="仿宋_GB2312" w:hAnsi="宋体" w:cs="宋体"/>
                <w:color w:val="auto"/>
                <w:kern w:val="0"/>
                <w:sz w:val="24"/>
              </w:rPr>
            </w:pPr>
          </w:p>
        </w:tc>
        <w:tc>
          <w:tcPr>
            <w:tcW w:w="765"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color w:val="auto"/>
                <w:kern w:val="0"/>
                <w:sz w:val="22"/>
                <w:szCs w:val="22"/>
              </w:rPr>
            </w:pPr>
            <w:r>
              <w:rPr>
                <w:rFonts w:hint="eastAsia" w:ascii="仿宋_GB2312" w:hAnsi="宋体" w:cs="宋体"/>
                <w:color w:val="auto"/>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color w:val="auto"/>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color w:val="auto"/>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r>
              <w:rPr>
                <w:rFonts w:hint="eastAsia" w:ascii="宋体" w:hAnsi="宋体" w:cs="宋体"/>
                <w:color w:val="auto"/>
                <w:kern w:val="0"/>
                <w:sz w:val="22"/>
                <w:szCs w:val="22"/>
                <w:lang w:eastAsia="zh-CN"/>
              </w:rPr>
              <w:t>无</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bl>
    <w:p>
      <w:pPr>
        <w:spacing w:line="560" w:lineRule="exact"/>
        <w:ind w:firstLine="420"/>
        <w:rPr>
          <w:rFonts w:hint="eastAsia"/>
          <w:color w:val="auto"/>
          <w:lang w:eastAsia="zh-CN"/>
        </w:rPr>
      </w:pPr>
      <w:r>
        <w:rPr>
          <w:rFonts w:hint="eastAsia"/>
          <w:color w:val="auto"/>
        </w:rPr>
        <w:t>注：本表反映</w:t>
      </w:r>
      <w:r>
        <w:rPr>
          <w:rFonts w:hint="eastAsia"/>
          <w:color w:val="auto"/>
          <w:lang w:val="en-US" w:eastAsia="zh-CN"/>
        </w:rPr>
        <w:t>单位</w:t>
      </w:r>
      <w:r>
        <w:rPr>
          <w:rFonts w:hint="eastAsia"/>
          <w:color w:val="auto"/>
        </w:rPr>
        <w:t>本年度政府性基金预算财政拨款收入支出及结转和结余情况。</w:t>
      </w:r>
      <w:r>
        <w:rPr>
          <w:rFonts w:hint="eastAsia"/>
          <w:color w:val="auto"/>
          <w:lang w:eastAsia="zh-CN"/>
        </w:rPr>
        <w:t>柳州市志愿服务管理中心本年度</w:t>
      </w:r>
      <w:r>
        <w:rPr>
          <w:rFonts w:hint="eastAsia"/>
          <w:color w:val="auto"/>
        </w:rPr>
        <w:t>没有政府性基金预算财政拨款收入，也没有政府性基金预算财政拨款安排的支出，故本表无数据</w:t>
      </w:r>
      <w:r>
        <w:rPr>
          <w:rFonts w:hint="eastAsia"/>
          <w:color w:val="auto"/>
          <w:lang w:eastAsia="zh-CN"/>
        </w:rPr>
        <w:t>。</w:t>
      </w:r>
    </w:p>
    <w:p>
      <w:pPr>
        <w:spacing w:line="560" w:lineRule="exact"/>
        <w:rPr>
          <w:rFonts w:hint="eastAsia"/>
          <w:color w:val="auto"/>
          <w:lang w:eastAsia="zh-CN"/>
        </w:rPr>
      </w:pPr>
    </w:p>
    <w:tbl>
      <w:tblPr>
        <w:tblStyle w:val="6"/>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10"/>
                <w:highlight w:val="none"/>
                <w:lang w:val="en-US" w:eastAsia="zh-CN" w:bidi="ar"/>
              </w:rPr>
              <w:t xml:space="preserve">   </w:t>
            </w:r>
            <w:r>
              <w:rPr>
                <w:rStyle w:val="11"/>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无</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w:t>
            </w:r>
            <w:r>
              <w:rPr>
                <w:rFonts w:hint="eastAsia"/>
                <w:color w:val="auto"/>
                <w:lang w:val="en-US" w:eastAsia="zh-CN"/>
              </w:rPr>
              <w:t>单位</w:t>
            </w:r>
            <w:r>
              <w:rPr>
                <w:rFonts w:hint="eastAsia" w:ascii="宋体" w:hAnsi="宋体" w:eastAsia="宋体" w:cs="宋体"/>
                <w:i w:val="0"/>
                <w:color w:val="000000"/>
                <w:kern w:val="0"/>
                <w:sz w:val="24"/>
                <w:szCs w:val="24"/>
                <w:highlight w:val="none"/>
                <w:u w:val="none"/>
                <w:lang w:val="en-US" w:eastAsia="zh-CN" w:bidi="ar"/>
              </w:rPr>
              <w:t>本年度国有资本经营预算财政拨款支出情况。</w:t>
            </w:r>
          </w:p>
        </w:tc>
      </w:tr>
    </w:tbl>
    <w:p>
      <w:pPr>
        <w:spacing w:line="560" w:lineRule="exact"/>
        <w:ind w:firstLine="420"/>
        <w:rPr>
          <w:rFonts w:hint="eastAsia"/>
          <w:color w:val="auto"/>
          <w:lang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80" w:lineRule="exact"/>
        <w:rPr>
          <w:rFonts w:ascii="仿宋_GB2312" w:eastAsia="仿宋_GB2312"/>
          <w:b/>
          <w:color w:val="auto"/>
          <w:w w:val="90"/>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w w:val="90"/>
          <w:sz w:val="32"/>
          <w:szCs w:val="32"/>
          <w:u w:val="none"/>
          <w:lang w:eastAsia="zh-CN"/>
        </w:rPr>
        <w:t>柳州市志愿服务管理中心</w:t>
      </w:r>
      <w:r>
        <w:rPr>
          <w:rFonts w:hint="eastAsia" w:ascii="仿宋_GB2312" w:eastAsia="仿宋_GB2312"/>
          <w:b/>
          <w:color w:val="auto"/>
          <w:w w:val="90"/>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一、</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color w:val="auto"/>
          <w:kern w:val="0"/>
          <w:sz w:val="32"/>
          <w:szCs w:val="32"/>
        </w:rPr>
      </w:pPr>
      <w:r>
        <w:rPr>
          <w:rFonts w:hint="eastAsia" w:ascii="仿宋_GB2312" w:eastAsia="仿宋_GB2312" w:cs="仿宋_GB2312"/>
          <w:b/>
          <w:color w:val="auto"/>
          <w:kern w:val="0"/>
          <w:sz w:val="32"/>
          <w:szCs w:val="32"/>
        </w:rPr>
        <w:t xml:space="preserve"> </w:t>
      </w:r>
      <w:r>
        <w:rPr>
          <w:rFonts w:hint="eastAsia" w:ascii="仿宋_GB2312" w:eastAsia="仿宋_GB2312" w:cs="仿宋_GB2312"/>
          <w:bCs/>
          <w:color w:val="auto"/>
          <w:kern w:val="0"/>
          <w:sz w:val="32"/>
          <w:szCs w:val="32"/>
        </w:rPr>
        <w:t>2020年度收入总计</w:t>
      </w:r>
      <w:r>
        <w:rPr>
          <w:rFonts w:hint="eastAsia" w:ascii="仿宋_GB2312" w:eastAsia="仿宋_GB2312" w:cs="仿宋_GB2312"/>
          <w:bCs/>
          <w:color w:val="auto"/>
          <w:kern w:val="0"/>
          <w:sz w:val="32"/>
          <w:szCs w:val="32"/>
          <w:lang w:val="en-US" w:eastAsia="zh-CN"/>
        </w:rPr>
        <w:t>157.75</w:t>
      </w:r>
      <w:r>
        <w:rPr>
          <w:rFonts w:hint="eastAsia" w:ascii="仿宋_GB2312" w:eastAsia="仿宋_GB2312" w:cs="仿宋_GB2312"/>
          <w:bCs/>
          <w:color w:val="auto"/>
          <w:kern w:val="0"/>
          <w:sz w:val="32"/>
          <w:szCs w:val="32"/>
        </w:rPr>
        <w:t>万元，支出总计</w:t>
      </w:r>
      <w:r>
        <w:rPr>
          <w:rFonts w:hint="eastAsia" w:ascii="仿宋_GB2312" w:eastAsia="仿宋_GB2312" w:cs="仿宋_GB2312"/>
          <w:bCs/>
          <w:color w:val="auto"/>
          <w:kern w:val="0"/>
          <w:sz w:val="32"/>
          <w:szCs w:val="32"/>
          <w:lang w:val="en-US" w:eastAsia="zh-CN"/>
        </w:rPr>
        <w:t>155.33</w:t>
      </w:r>
      <w:r>
        <w:rPr>
          <w:rFonts w:hint="eastAsia" w:ascii="仿宋_GB2312" w:eastAsia="仿宋_GB2312" w:cs="仿宋_GB2312"/>
          <w:bCs/>
          <w:color w:val="auto"/>
          <w:kern w:val="0"/>
          <w:sz w:val="32"/>
          <w:szCs w:val="32"/>
        </w:rPr>
        <w:t>万元，与2019年相比，收</w:t>
      </w:r>
      <w:r>
        <w:rPr>
          <w:rFonts w:hint="eastAsia" w:ascii="仿宋_GB2312" w:eastAsia="仿宋_GB2312" w:cs="仿宋_GB2312"/>
          <w:bCs/>
          <w:color w:val="auto"/>
          <w:kern w:val="0"/>
          <w:sz w:val="32"/>
          <w:szCs w:val="32"/>
          <w:lang w:eastAsia="zh-CN"/>
        </w:rPr>
        <w:t>入减少</w:t>
      </w:r>
      <w:r>
        <w:rPr>
          <w:rFonts w:hint="eastAsia" w:ascii="仿宋_GB2312" w:eastAsia="仿宋_GB2312" w:cs="仿宋_GB2312"/>
          <w:bCs/>
          <w:color w:val="auto"/>
          <w:kern w:val="0"/>
          <w:sz w:val="32"/>
          <w:szCs w:val="32"/>
          <w:lang w:val="en-US" w:eastAsia="zh-CN"/>
        </w:rPr>
        <w:t>4.89万元</w:t>
      </w:r>
      <w:r>
        <w:rPr>
          <w:rFonts w:hint="eastAsia" w:ascii="仿宋_GB2312" w:eastAsia="仿宋_GB2312" w:cs="仿宋_GB2312"/>
          <w:bCs/>
          <w:color w:val="auto"/>
          <w:kern w:val="0"/>
          <w:sz w:val="32"/>
          <w:szCs w:val="32"/>
          <w:lang w:eastAsia="zh-CN"/>
        </w:rPr>
        <w:t>，降低</w:t>
      </w:r>
      <w:r>
        <w:rPr>
          <w:rFonts w:hint="eastAsia" w:ascii="仿宋_GB2312" w:eastAsia="仿宋_GB2312" w:cs="仿宋_GB2312"/>
          <w:bCs/>
          <w:color w:val="auto"/>
          <w:kern w:val="0"/>
          <w:sz w:val="32"/>
          <w:szCs w:val="32"/>
          <w:lang w:val="en-US" w:eastAsia="zh-CN"/>
        </w:rPr>
        <w:t>3.01%；</w:t>
      </w:r>
      <w:r>
        <w:rPr>
          <w:rFonts w:hint="eastAsia" w:ascii="仿宋_GB2312" w:eastAsia="仿宋_GB2312" w:cs="仿宋_GB2312"/>
          <w:bCs/>
          <w:color w:val="auto"/>
          <w:kern w:val="0"/>
          <w:sz w:val="32"/>
          <w:szCs w:val="32"/>
        </w:rPr>
        <w:t>支</w:t>
      </w:r>
      <w:r>
        <w:rPr>
          <w:rFonts w:hint="eastAsia" w:ascii="仿宋_GB2312" w:eastAsia="仿宋_GB2312" w:cs="仿宋_GB2312"/>
          <w:bCs/>
          <w:color w:val="auto"/>
          <w:kern w:val="0"/>
          <w:sz w:val="32"/>
          <w:szCs w:val="32"/>
          <w:lang w:eastAsia="zh-CN"/>
        </w:rPr>
        <w:t>出减少</w:t>
      </w:r>
      <w:r>
        <w:rPr>
          <w:rFonts w:hint="eastAsia" w:ascii="仿宋_GB2312" w:eastAsia="仿宋_GB2312" w:cs="仿宋_GB2312"/>
          <w:bCs/>
          <w:color w:val="auto"/>
          <w:kern w:val="0"/>
          <w:sz w:val="32"/>
          <w:szCs w:val="32"/>
          <w:lang w:val="en-US" w:eastAsia="zh-CN"/>
        </w:rPr>
        <w:t>7.31万元</w:t>
      </w:r>
      <w:r>
        <w:rPr>
          <w:rFonts w:hint="eastAsia" w:ascii="仿宋_GB2312" w:eastAsia="仿宋_GB2312" w:cs="仿宋_GB2312"/>
          <w:bCs/>
          <w:color w:val="auto"/>
          <w:kern w:val="0"/>
          <w:sz w:val="32"/>
          <w:szCs w:val="32"/>
          <w:lang w:eastAsia="zh-CN"/>
        </w:rPr>
        <w:t>，支出降低</w:t>
      </w:r>
      <w:r>
        <w:rPr>
          <w:rFonts w:hint="eastAsia" w:ascii="仿宋_GB2312" w:eastAsia="仿宋_GB2312" w:cs="仿宋_GB2312"/>
          <w:bCs/>
          <w:color w:val="auto"/>
          <w:kern w:val="0"/>
          <w:sz w:val="32"/>
          <w:szCs w:val="32"/>
          <w:lang w:val="en-US" w:eastAsia="zh-CN"/>
        </w:rPr>
        <w:t>4.49</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二、</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color w:val="auto"/>
          <w:kern w:val="0"/>
          <w:sz w:val="32"/>
          <w:szCs w:val="32"/>
        </w:rPr>
      </w:pPr>
      <w:r>
        <w:rPr>
          <w:rFonts w:hint="eastAsia" w:ascii="仿宋_GB2312" w:eastAsia="仿宋_GB2312" w:cs="仿宋_GB2312"/>
          <w:bCs/>
          <w:color w:val="auto"/>
          <w:kern w:val="0"/>
          <w:sz w:val="32"/>
          <w:szCs w:val="32"/>
        </w:rPr>
        <w:t>本年收入总计</w:t>
      </w:r>
      <w:r>
        <w:rPr>
          <w:rFonts w:hint="eastAsia" w:ascii="仿宋_GB2312" w:eastAsia="仿宋_GB2312" w:cs="仿宋_GB2312"/>
          <w:bCs/>
          <w:color w:val="auto"/>
          <w:kern w:val="0"/>
          <w:sz w:val="32"/>
          <w:szCs w:val="32"/>
          <w:lang w:val="en-US" w:eastAsia="zh-CN"/>
        </w:rPr>
        <w:t>157.75</w:t>
      </w:r>
      <w:r>
        <w:rPr>
          <w:rFonts w:hint="eastAsia" w:ascii="仿宋_GB2312" w:eastAsia="仿宋_GB2312" w:cs="仿宋_GB2312"/>
          <w:bCs/>
          <w:color w:val="auto"/>
          <w:kern w:val="0"/>
          <w:sz w:val="32"/>
          <w:szCs w:val="32"/>
        </w:rPr>
        <w:t>万元 ，一般公共预算财政拨款收入</w:t>
      </w:r>
      <w:r>
        <w:rPr>
          <w:rFonts w:hint="eastAsia" w:ascii="仿宋_GB2312" w:eastAsia="仿宋_GB2312" w:cs="仿宋_GB2312"/>
          <w:bCs/>
          <w:color w:val="auto"/>
          <w:kern w:val="0"/>
          <w:sz w:val="32"/>
          <w:szCs w:val="32"/>
          <w:lang w:val="en-US" w:eastAsia="zh-CN"/>
        </w:rPr>
        <w:t>157.75</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占比</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三、</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lang w:val="en-US"/>
        </w:rPr>
      </w:pPr>
      <w:r>
        <w:rPr>
          <w:rFonts w:hint="eastAsia" w:ascii="仿宋_GB2312" w:eastAsia="仿宋_GB2312" w:cs="仿宋_GB2312"/>
          <w:bCs/>
          <w:color w:val="auto"/>
          <w:kern w:val="0"/>
          <w:sz w:val="32"/>
          <w:szCs w:val="32"/>
        </w:rPr>
        <w:t xml:space="preserve">本年支出合计 </w:t>
      </w:r>
      <w:r>
        <w:rPr>
          <w:rFonts w:hint="eastAsia" w:ascii="仿宋_GB2312" w:eastAsia="仿宋_GB2312" w:cs="仿宋_GB2312"/>
          <w:bCs/>
          <w:color w:val="auto"/>
          <w:kern w:val="0"/>
          <w:sz w:val="32"/>
          <w:szCs w:val="32"/>
          <w:lang w:val="en-US" w:eastAsia="zh-CN"/>
        </w:rPr>
        <w:t>155.33</w:t>
      </w:r>
      <w:r>
        <w:rPr>
          <w:rFonts w:hint="eastAsia" w:ascii="仿宋_GB2312" w:eastAsia="仿宋_GB2312" w:cs="仿宋_GB2312"/>
          <w:bCs/>
          <w:color w:val="auto"/>
          <w:kern w:val="0"/>
          <w:sz w:val="32"/>
          <w:szCs w:val="32"/>
        </w:rPr>
        <w:t>万元，其中：基本支出</w:t>
      </w:r>
      <w:r>
        <w:rPr>
          <w:rFonts w:hint="eastAsia" w:ascii="仿宋_GB2312" w:eastAsia="仿宋_GB2312" w:cs="仿宋_GB2312"/>
          <w:bCs/>
          <w:color w:val="auto"/>
          <w:kern w:val="0"/>
          <w:sz w:val="32"/>
          <w:szCs w:val="32"/>
          <w:lang w:val="en-US" w:eastAsia="zh-CN"/>
        </w:rPr>
        <w:t>34.89</w:t>
      </w:r>
      <w:r>
        <w:rPr>
          <w:rFonts w:hint="eastAsia" w:ascii="仿宋_GB2312" w:eastAsia="仿宋_GB2312" w:cs="仿宋_GB2312"/>
          <w:bCs/>
          <w:color w:val="auto"/>
          <w:kern w:val="0"/>
          <w:sz w:val="32"/>
          <w:szCs w:val="32"/>
        </w:rPr>
        <w:t xml:space="preserve">万元，占 </w:t>
      </w:r>
      <w:r>
        <w:rPr>
          <w:rFonts w:hint="eastAsia" w:ascii="仿宋_GB2312" w:eastAsia="仿宋_GB2312" w:cs="仿宋_GB2312"/>
          <w:bCs/>
          <w:color w:val="auto"/>
          <w:kern w:val="0"/>
          <w:sz w:val="32"/>
          <w:szCs w:val="32"/>
          <w:lang w:val="en-US" w:eastAsia="zh-CN"/>
        </w:rPr>
        <w:t>22.46</w:t>
      </w:r>
      <w:r>
        <w:rPr>
          <w:rFonts w:hint="eastAsia" w:ascii="仿宋_GB2312" w:eastAsia="仿宋_GB2312" w:cs="仿宋_GB2312"/>
          <w:bCs/>
          <w:color w:val="auto"/>
          <w:kern w:val="0"/>
          <w:sz w:val="32"/>
          <w:szCs w:val="32"/>
        </w:rPr>
        <w:t xml:space="preserve">%；项目支出 </w:t>
      </w:r>
      <w:r>
        <w:rPr>
          <w:rFonts w:hint="eastAsia" w:ascii="仿宋_GB2312" w:eastAsia="仿宋_GB2312" w:cs="仿宋_GB2312"/>
          <w:bCs/>
          <w:color w:val="auto"/>
          <w:kern w:val="0"/>
          <w:sz w:val="32"/>
          <w:szCs w:val="32"/>
          <w:lang w:val="en-US" w:eastAsia="zh-CN"/>
        </w:rPr>
        <w:t>120.45</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77.54</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四、</w:t>
      </w:r>
      <w:r>
        <w:rPr>
          <w:rFonts w:hint="eastAsia" w:eastAsia="仿宋_GB2312"/>
          <w:b/>
          <w:color w:val="auto"/>
          <w:kern w:val="0"/>
          <w:sz w:val="32"/>
          <w:szCs w:val="32"/>
        </w:rPr>
        <w:t>2020</w:t>
      </w:r>
      <w:r>
        <w:rPr>
          <w:rFonts w:hint="eastAsia" w:ascii="仿宋_GB2312" w:eastAsia="仿宋_GB2312" w:cs="仿宋_GB2312"/>
          <w:b/>
          <w:color w:val="auto"/>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本</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2020年度财政拨款收、支总决算</w:t>
      </w:r>
      <w:r>
        <w:rPr>
          <w:rFonts w:hint="eastAsia" w:ascii="仿宋_GB2312" w:eastAsia="仿宋_GB2312" w:cs="仿宋_GB2312"/>
          <w:bCs/>
          <w:color w:val="auto"/>
          <w:kern w:val="0"/>
          <w:sz w:val="32"/>
          <w:szCs w:val="32"/>
          <w:lang w:val="en-US" w:eastAsia="zh-CN"/>
        </w:rPr>
        <w:t>157.75</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155.33</w:t>
      </w:r>
      <w:r>
        <w:rPr>
          <w:rFonts w:hint="eastAsia" w:ascii="仿宋_GB2312" w:eastAsia="仿宋_GB2312" w:cs="仿宋_GB2312"/>
          <w:bCs/>
          <w:color w:val="auto"/>
          <w:kern w:val="0"/>
          <w:sz w:val="32"/>
          <w:szCs w:val="32"/>
        </w:rPr>
        <w:t>万元。与2019年相比，财政拨款收</w:t>
      </w:r>
      <w:r>
        <w:rPr>
          <w:rFonts w:hint="eastAsia" w:ascii="仿宋_GB2312" w:eastAsia="仿宋_GB2312" w:cs="仿宋_GB2312"/>
          <w:bCs/>
          <w:color w:val="auto"/>
          <w:kern w:val="0"/>
          <w:sz w:val="32"/>
          <w:szCs w:val="32"/>
          <w:lang w:eastAsia="zh-CN"/>
        </w:rPr>
        <w:t>入减少</w:t>
      </w:r>
      <w:r>
        <w:rPr>
          <w:rFonts w:hint="eastAsia" w:ascii="仿宋_GB2312" w:eastAsia="仿宋_GB2312" w:cs="仿宋_GB2312"/>
          <w:bCs/>
          <w:color w:val="auto"/>
          <w:kern w:val="0"/>
          <w:sz w:val="32"/>
          <w:szCs w:val="32"/>
          <w:lang w:val="en-US" w:eastAsia="zh-CN"/>
        </w:rPr>
        <w:t>4.89万元</w:t>
      </w:r>
      <w:r>
        <w:rPr>
          <w:rFonts w:hint="eastAsia" w:ascii="仿宋_GB2312" w:eastAsia="仿宋_GB2312" w:cs="仿宋_GB2312"/>
          <w:bCs/>
          <w:color w:val="auto"/>
          <w:kern w:val="0"/>
          <w:sz w:val="32"/>
          <w:szCs w:val="32"/>
          <w:lang w:eastAsia="zh-CN"/>
        </w:rPr>
        <w:t>，降低</w:t>
      </w:r>
      <w:r>
        <w:rPr>
          <w:rFonts w:hint="eastAsia" w:ascii="仿宋_GB2312" w:eastAsia="仿宋_GB2312" w:cs="仿宋_GB2312"/>
          <w:bCs/>
          <w:color w:val="auto"/>
          <w:kern w:val="0"/>
          <w:sz w:val="32"/>
          <w:szCs w:val="32"/>
          <w:lang w:val="en-US" w:eastAsia="zh-CN"/>
        </w:rPr>
        <w:t>3.01%；</w:t>
      </w:r>
      <w:r>
        <w:rPr>
          <w:rFonts w:hint="eastAsia" w:ascii="仿宋_GB2312" w:eastAsia="仿宋_GB2312" w:cs="仿宋_GB2312"/>
          <w:bCs/>
          <w:color w:val="auto"/>
          <w:kern w:val="0"/>
          <w:sz w:val="32"/>
          <w:szCs w:val="32"/>
        </w:rPr>
        <w:t>支</w:t>
      </w:r>
      <w:r>
        <w:rPr>
          <w:rFonts w:hint="eastAsia" w:ascii="仿宋_GB2312" w:eastAsia="仿宋_GB2312" w:cs="仿宋_GB2312"/>
          <w:bCs/>
          <w:color w:val="auto"/>
          <w:kern w:val="0"/>
          <w:sz w:val="32"/>
          <w:szCs w:val="32"/>
          <w:lang w:eastAsia="zh-CN"/>
        </w:rPr>
        <w:t>出减少</w:t>
      </w:r>
      <w:r>
        <w:rPr>
          <w:rFonts w:hint="eastAsia" w:ascii="仿宋_GB2312" w:eastAsia="仿宋_GB2312" w:cs="仿宋_GB2312"/>
          <w:bCs/>
          <w:color w:val="auto"/>
          <w:kern w:val="0"/>
          <w:sz w:val="32"/>
          <w:szCs w:val="32"/>
          <w:lang w:val="en-US" w:eastAsia="zh-CN"/>
        </w:rPr>
        <w:t>7.31万元</w:t>
      </w:r>
      <w:r>
        <w:rPr>
          <w:rFonts w:hint="eastAsia" w:ascii="仿宋_GB2312" w:eastAsia="仿宋_GB2312" w:cs="仿宋_GB2312"/>
          <w:bCs/>
          <w:color w:val="auto"/>
          <w:kern w:val="0"/>
          <w:sz w:val="32"/>
          <w:szCs w:val="32"/>
          <w:lang w:eastAsia="zh-CN"/>
        </w:rPr>
        <w:t>，支出降低</w:t>
      </w:r>
      <w:r>
        <w:rPr>
          <w:rFonts w:hint="eastAsia" w:ascii="仿宋_GB2312" w:eastAsia="仿宋_GB2312" w:cs="仿宋_GB2312"/>
          <w:bCs/>
          <w:color w:val="auto"/>
          <w:kern w:val="0"/>
          <w:sz w:val="32"/>
          <w:szCs w:val="32"/>
          <w:lang w:val="en-US" w:eastAsia="zh-CN"/>
        </w:rPr>
        <w:t>4.49</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w:t>
      </w:r>
    </w:p>
    <w:p>
      <w:pPr>
        <w:autoSpaceDE w:val="0"/>
        <w:autoSpaceDN w:val="0"/>
        <w:adjustRightInd w:val="0"/>
        <w:spacing w:line="580" w:lineRule="exact"/>
        <w:ind w:firstLine="643" w:firstLineChars="200"/>
        <w:jc w:val="left"/>
        <w:rPr>
          <w:rFonts w:eastAsia="仿宋_GB2312"/>
          <w:b/>
          <w:color w:val="auto"/>
          <w:kern w:val="0"/>
          <w:sz w:val="32"/>
          <w:szCs w:val="32"/>
        </w:rPr>
      </w:pPr>
      <w:r>
        <w:rPr>
          <w:rFonts w:hint="eastAsia" w:ascii="仿宋_GB2312" w:eastAsia="仿宋_GB2312" w:cs="仿宋_GB2312"/>
          <w:b/>
          <w:color w:val="auto"/>
          <w:kern w:val="0"/>
          <w:sz w:val="32"/>
          <w:szCs w:val="32"/>
        </w:rPr>
        <w:t>五、</w:t>
      </w:r>
      <w:r>
        <w:rPr>
          <w:rFonts w:hint="eastAsia" w:eastAsia="仿宋_GB2312"/>
          <w:b/>
          <w:color w:val="auto"/>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2020年度财政拨款支出</w:t>
      </w:r>
      <w:r>
        <w:rPr>
          <w:rFonts w:hint="eastAsia" w:ascii="仿宋_GB2312" w:eastAsia="仿宋_GB2312" w:cs="仿宋_GB2312"/>
          <w:bCs/>
          <w:color w:val="auto"/>
          <w:kern w:val="0"/>
          <w:sz w:val="32"/>
          <w:szCs w:val="32"/>
          <w:lang w:val="en-US" w:eastAsia="zh-CN"/>
        </w:rPr>
        <w:t>155.33</w:t>
      </w:r>
      <w:r>
        <w:rPr>
          <w:rFonts w:hint="eastAsia" w:ascii="仿宋_GB2312" w:eastAsia="仿宋_GB2312" w:cs="仿宋_GB2312"/>
          <w:bCs/>
          <w:color w:val="auto"/>
          <w:kern w:val="0"/>
          <w:sz w:val="32"/>
          <w:szCs w:val="32"/>
        </w:rPr>
        <w:t>万元，占本年支出合计的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%。与2019年相比，财政拨款支</w:t>
      </w:r>
      <w:r>
        <w:rPr>
          <w:rFonts w:hint="eastAsia" w:ascii="仿宋_GB2312" w:eastAsia="仿宋_GB2312" w:cs="仿宋_GB2312"/>
          <w:bCs/>
          <w:color w:val="auto"/>
          <w:kern w:val="0"/>
          <w:sz w:val="32"/>
          <w:szCs w:val="32"/>
          <w:lang w:eastAsia="zh-CN"/>
        </w:rPr>
        <w:t>出减少</w:t>
      </w:r>
      <w:r>
        <w:rPr>
          <w:rFonts w:hint="eastAsia" w:ascii="仿宋_GB2312" w:eastAsia="仿宋_GB2312" w:cs="仿宋_GB2312"/>
          <w:bCs/>
          <w:color w:val="auto"/>
          <w:kern w:val="0"/>
          <w:sz w:val="32"/>
          <w:szCs w:val="32"/>
          <w:lang w:val="en-US" w:eastAsia="zh-CN"/>
        </w:rPr>
        <w:t>7.31万元</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降低</w:t>
      </w:r>
      <w:r>
        <w:rPr>
          <w:rFonts w:hint="eastAsia" w:ascii="仿宋_GB2312" w:eastAsia="仿宋_GB2312" w:cs="仿宋_GB2312"/>
          <w:bCs/>
          <w:color w:val="auto"/>
          <w:kern w:val="0"/>
          <w:sz w:val="32"/>
          <w:szCs w:val="32"/>
          <w:lang w:val="en-US" w:eastAsia="zh-CN"/>
        </w:rPr>
        <w:t>4.49</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 年度财政拨款支出 </w:t>
      </w:r>
      <w:r>
        <w:rPr>
          <w:rFonts w:hint="eastAsia" w:ascii="仿宋_GB2312" w:eastAsia="仿宋_GB2312" w:cs="仿宋_GB2312"/>
          <w:bCs/>
          <w:color w:val="auto"/>
          <w:kern w:val="0"/>
          <w:sz w:val="32"/>
          <w:szCs w:val="32"/>
          <w:lang w:val="en-US" w:eastAsia="zh-CN"/>
        </w:rPr>
        <w:t>155.33</w:t>
      </w:r>
      <w:r>
        <w:rPr>
          <w:rFonts w:hint="eastAsia" w:ascii="仿宋_GB2312" w:eastAsia="仿宋_GB2312" w:cs="仿宋_GB2312"/>
          <w:bCs/>
          <w:color w:val="auto"/>
          <w:kern w:val="0"/>
          <w:sz w:val="32"/>
          <w:szCs w:val="32"/>
        </w:rPr>
        <w:t>万元，主要用于以下方面：一般公共服务（类）支出</w:t>
      </w:r>
      <w:r>
        <w:rPr>
          <w:rFonts w:hint="eastAsia" w:ascii="仿宋_GB2312" w:eastAsia="仿宋_GB2312" w:cs="仿宋_GB2312"/>
          <w:bCs/>
          <w:color w:val="auto"/>
          <w:kern w:val="0"/>
          <w:sz w:val="32"/>
          <w:szCs w:val="32"/>
          <w:lang w:val="en-US" w:eastAsia="zh-CN"/>
        </w:rPr>
        <w:t>140.55</w:t>
      </w:r>
      <w:r>
        <w:rPr>
          <w:rFonts w:hint="eastAsia" w:ascii="仿宋_GB2312" w:eastAsia="仿宋_GB2312" w:cs="仿宋_GB2312"/>
          <w:bCs/>
          <w:color w:val="auto"/>
          <w:kern w:val="0"/>
          <w:sz w:val="32"/>
          <w:szCs w:val="32"/>
        </w:rPr>
        <w:t>万元， 占</w:t>
      </w:r>
      <w:r>
        <w:rPr>
          <w:rFonts w:hint="eastAsia" w:ascii="仿宋_GB2312" w:eastAsia="仿宋_GB2312" w:cs="仿宋_GB2312"/>
          <w:bCs/>
          <w:color w:val="auto"/>
          <w:kern w:val="0"/>
          <w:sz w:val="32"/>
          <w:szCs w:val="32"/>
          <w:lang w:val="en-US" w:eastAsia="zh-CN"/>
        </w:rPr>
        <w:t>90.48</w:t>
      </w:r>
      <w:r>
        <w:rPr>
          <w:rFonts w:hint="eastAsia" w:ascii="仿宋_GB2312" w:eastAsia="仿宋_GB2312" w:cs="仿宋_GB2312"/>
          <w:bCs/>
          <w:color w:val="auto"/>
          <w:kern w:val="0"/>
          <w:sz w:val="32"/>
          <w:szCs w:val="32"/>
        </w:rPr>
        <w:t>%； 社会保障和就业（类）支出</w:t>
      </w:r>
      <w:r>
        <w:rPr>
          <w:rFonts w:hint="eastAsia" w:ascii="仿宋_GB2312" w:eastAsia="仿宋_GB2312" w:cs="仿宋_GB2312"/>
          <w:bCs/>
          <w:color w:val="auto"/>
          <w:kern w:val="0"/>
          <w:sz w:val="32"/>
          <w:szCs w:val="32"/>
          <w:lang w:val="en-US" w:eastAsia="zh-CN"/>
        </w:rPr>
        <w:t>6.32</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4.07</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卫生健康</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2.32</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1.49</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城乡社区支出</w:t>
      </w:r>
      <w:r>
        <w:rPr>
          <w:rFonts w:hint="eastAsia" w:ascii="仿宋_GB2312" w:eastAsia="仿宋_GB2312" w:cs="仿宋_GB2312"/>
          <w:bCs/>
          <w:color w:val="auto"/>
          <w:kern w:val="0"/>
          <w:sz w:val="32"/>
          <w:szCs w:val="32"/>
          <w:lang w:val="en-US" w:eastAsia="zh-CN"/>
        </w:rPr>
        <w:t>0.01万元，占0.006%；农林水支出2.45万元，占1.58%；住房保障（类）支出3.68万元，占2.37%。</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（三）财政拨款支出决算具体情况</w:t>
      </w:r>
    </w:p>
    <w:p>
      <w:pPr>
        <w:autoSpaceDE w:val="0"/>
        <w:autoSpaceDN w:val="0"/>
        <w:adjustRightInd w:val="0"/>
        <w:spacing w:line="580" w:lineRule="exact"/>
        <w:ind w:firstLine="640" w:firstLineChars="200"/>
        <w:jc w:val="both"/>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 年度财政拨款支出年初预算为</w:t>
      </w:r>
      <w:r>
        <w:rPr>
          <w:rFonts w:hint="eastAsia" w:ascii="仿宋_GB2312" w:eastAsia="仿宋_GB2312" w:cs="仿宋_GB2312"/>
          <w:bCs/>
          <w:color w:val="auto"/>
          <w:kern w:val="0"/>
          <w:sz w:val="32"/>
          <w:szCs w:val="32"/>
          <w:lang w:val="en-US" w:eastAsia="zh-CN"/>
        </w:rPr>
        <w:t>213.71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155.33</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72.68</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w:t>
      </w:r>
      <w:r>
        <w:rPr>
          <w:rFonts w:hint="eastAsia" w:ascii="仿宋_GB2312" w:eastAsia="仿宋_GB2312" w:cs="仿宋_GB2312"/>
          <w:bCs/>
          <w:color w:val="auto"/>
          <w:kern w:val="0"/>
          <w:sz w:val="32"/>
          <w:szCs w:val="32"/>
        </w:rPr>
        <w:t>于预算数的主要原因</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调整人员经费。其中：</w:t>
      </w:r>
    </w:p>
    <w:p>
      <w:pPr>
        <w:numPr>
          <w:ilvl w:val="0"/>
          <w:numId w:val="0"/>
        </w:num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1.一般公共服务（201类）宣传事务（33款）事业运行（50项）。年初预算为204.22万元，支出决算为140.55万元，完成年初预算的68.82%。决算数小于年初预算数的主要原因是调整预算数。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2.社会保障和就业支出（208类）行政事业单位养老支出（05款）机关事业单位基本养老保险缴费支出（05项）。年初预算为3.48万元，支出决算为4.57万元，完成年初预算的131.32%。</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3.</w:t>
      </w:r>
      <w:r>
        <w:rPr>
          <w:rFonts w:hint="eastAsia" w:ascii="仿宋_GB2312" w:eastAsia="仿宋_GB2312" w:cs="仿宋_GB2312"/>
          <w:bCs/>
          <w:color w:val="auto"/>
          <w:kern w:val="0"/>
          <w:sz w:val="32"/>
          <w:szCs w:val="32"/>
        </w:rPr>
        <w:t>社会保障和就业支出（208类）行政事业单位养老支出（05款）机关事业单位职业年金缴费支出（0</w:t>
      </w: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项）。年初预算为1.74万元，支出决算为</w:t>
      </w:r>
      <w:r>
        <w:rPr>
          <w:rFonts w:hint="eastAsia" w:ascii="仿宋_GB2312" w:eastAsia="仿宋_GB2312" w:cs="仿宋_GB2312"/>
          <w:bCs/>
          <w:color w:val="auto"/>
          <w:kern w:val="0"/>
          <w:sz w:val="32"/>
          <w:szCs w:val="32"/>
          <w:lang w:val="en-US" w:eastAsia="zh-CN"/>
        </w:rPr>
        <w:t>1.74</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rPr>
        <w:t>卫生健康支出（210类）行政事业单位医疗（11款）事业单位医疗（0</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1.66</w:t>
      </w:r>
      <w:r>
        <w:rPr>
          <w:rFonts w:hint="eastAsia" w:ascii="仿宋_GB2312" w:eastAsia="仿宋_GB2312" w:cs="仿宋_GB2312"/>
          <w:bCs/>
          <w:color w:val="auto"/>
          <w:kern w:val="0"/>
          <w:sz w:val="32"/>
          <w:szCs w:val="32"/>
        </w:rPr>
        <w:t>万元，支出决算为2.32万元</w:t>
      </w:r>
      <w:r>
        <w:rPr>
          <w:rFonts w:hint="eastAsia" w:ascii="仿宋_GB2312" w:eastAsia="仿宋_GB2312" w:cs="仿宋_GB2312"/>
          <w:bCs/>
          <w:color w:val="auto"/>
          <w:kern w:val="0"/>
          <w:sz w:val="32"/>
          <w:szCs w:val="32"/>
          <w:lang w:eastAsia="zh-CN"/>
        </w:rPr>
        <w:t>，完成年初预算的</w:t>
      </w:r>
      <w:r>
        <w:rPr>
          <w:rFonts w:hint="eastAsia" w:ascii="仿宋_GB2312" w:eastAsia="仿宋_GB2312" w:cs="仿宋_GB2312"/>
          <w:bCs/>
          <w:color w:val="auto"/>
          <w:kern w:val="0"/>
          <w:sz w:val="32"/>
          <w:szCs w:val="32"/>
          <w:lang w:val="en-US" w:eastAsia="zh-CN"/>
        </w:rPr>
        <w:t>139.76%</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大</w:t>
      </w:r>
      <w:r>
        <w:rPr>
          <w:rFonts w:hint="eastAsia" w:ascii="仿宋_GB2312" w:eastAsia="仿宋_GB2312" w:cs="仿宋_GB2312"/>
          <w:bCs/>
          <w:color w:val="auto"/>
          <w:kern w:val="0"/>
          <w:sz w:val="32"/>
          <w:szCs w:val="32"/>
        </w:rPr>
        <w:t>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5.</w:t>
      </w:r>
      <w:r>
        <w:rPr>
          <w:rFonts w:hint="eastAsia" w:ascii="仿宋_GB2312" w:eastAsia="仿宋_GB2312" w:cs="仿宋_GB2312"/>
          <w:bCs/>
          <w:color w:val="auto"/>
          <w:kern w:val="0"/>
          <w:sz w:val="32"/>
          <w:szCs w:val="32"/>
        </w:rPr>
        <w:t>城乡社区支出（21</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类）城乡社区环境卫生（</w:t>
      </w:r>
      <w:r>
        <w:rPr>
          <w:rFonts w:hint="eastAsia" w:ascii="仿宋_GB2312" w:eastAsia="仿宋_GB2312" w:cs="仿宋_GB2312"/>
          <w:bCs/>
          <w:color w:val="auto"/>
          <w:kern w:val="0"/>
          <w:sz w:val="32"/>
          <w:szCs w:val="32"/>
          <w:lang w:val="en-US" w:eastAsia="zh-CN"/>
        </w:rPr>
        <w:t>05</w:t>
      </w:r>
      <w:r>
        <w:rPr>
          <w:rFonts w:hint="eastAsia" w:ascii="仿宋_GB2312" w:eastAsia="仿宋_GB2312" w:cs="仿宋_GB2312"/>
          <w:bCs/>
          <w:color w:val="auto"/>
          <w:kern w:val="0"/>
          <w:sz w:val="32"/>
          <w:szCs w:val="32"/>
        </w:rPr>
        <w:t>款）城乡社区环境卫生（0</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0.01</w:t>
      </w:r>
      <w:r>
        <w:rPr>
          <w:rFonts w:hint="eastAsia" w:ascii="仿宋_GB2312" w:eastAsia="仿宋_GB2312" w:cs="仿宋_GB2312"/>
          <w:bCs/>
          <w:color w:val="auto"/>
          <w:kern w:val="0"/>
          <w:sz w:val="32"/>
          <w:szCs w:val="32"/>
        </w:rPr>
        <w:t>万元。决算数</w:t>
      </w:r>
      <w:r>
        <w:rPr>
          <w:rFonts w:hint="eastAsia" w:ascii="仿宋_GB2312" w:eastAsia="仿宋_GB2312" w:cs="仿宋_GB2312"/>
          <w:bCs/>
          <w:color w:val="auto"/>
          <w:kern w:val="0"/>
          <w:sz w:val="32"/>
          <w:szCs w:val="32"/>
          <w:lang w:eastAsia="zh-CN"/>
        </w:rPr>
        <w:t>大</w:t>
      </w:r>
      <w:r>
        <w:rPr>
          <w:rFonts w:hint="eastAsia" w:ascii="仿宋_GB2312" w:eastAsia="仿宋_GB2312" w:cs="仿宋_GB2312"/>
          <w:bCs/>
          <w:color w:val="auto"/>
          <w:kern w:val="0"/>
          <w:sz w:val="32"/>
          <w:szCs w:val="32"/>
        </w:rPr>
        <w:t>于年初预算数的主要原因是调整预算数。</w:t>
      </w:r>
    </w:p>
    <w:p>
      <w:pPr>
        <w:numPr>
          <w:ilvl w:val="0"/>
          <w:numId w:val="0"/>
        </w:num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农林水支出（21</w:t>
      </w:r>
      <w:r>
        <w:rPr>
          <w:rFonts w:hint="eastAsia" w:ascii="仿宋_GB2312" w:eastAsia="仿宋_GB2312" w:cs="仿宋_GB2312"/>
          <w:bCs/>
          <w:color w:val="auto"/>
          <w:kern w:val="0"/>
          <w:sz w:val="32"/>
          <w:szCs w:val="32"/>
          <w:lang w:val="en-US" w:eastAsia="zh-CN"/>
        </w:rPr>
        <w:t>3</w:t>
      </w:r>
      <w:r>
        <w:rPr>
          <w:rFonts w:hint="eastAsia" w:ascii="仿宋_GB2312" w:eastAsia="仿宋_GB2312" w:cs="仿宋_GB2312"/>
          <w:bCs/>
          <w:color w:val="auto"/>
          <w:kern w:val="0"/>
          <w:sz w:val="32"/>
          <w:szCs w:val="32"/>
        </w:rPr>
        <w:t>类）林业和草原（</w:t>
      </w:r>
      <w:r>
        <w:rPr>
          <w:rFonts w:hint="eastAsia" w:ascii="仿宋_GB2312" w:eastAsia="仿宋_GB2312" w:cs="仿宋_GB2312"/>
          <w:bCs/>
          <w:color w:val="auto"/>
          <w:kern w:val="0"/>
          <w:sz w:val="32"/>
          <w:szCs w:val="32"/>
          <w:lang w:val="en-US" w:eastAsia="zh-CN"/>
        </w:rPr>
        <w:t>02</w:t>
      </w:r>
      <w:r>
        <w:rPr>
          <w:rFonts w:hint="eastAsia" w:ascii="仿宋_GB2312" w:eastAsia="仿宋_GB2312" w:cs="仿宋_GB2312"/>
          <w:bCs/>
          <w:color w:val="auto"/>
          <w:kern w:val="0"/>
          <w:sz w:val="32"/>
          <w:szCs w:val="32"/>
        </w:rPr>
        <w:t>款）事业机构（0</w:t>
      </w: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2.45</w:t>
      </w:r>
      <w:r>
        <w:rPr>
          <w:rFonts w:hint="eastAsia" w:ascii="仿宋_GB2312" w:eastAsia="仿宋_GB2312" w:cs="仿宋_GB2312"/>
          <w:bCs/>
          <w:color w:val="auto"/>
          <w:kern w:val="0"/>
          <w:sz w:val="32"/>
          <w:szCs w:val="32"/>
        </w:rPr>
        <w:t>万元。决算数</w:t>
      </w:r>
      <w:r>
        <w:rPr>
          <w:rFonts w:hint="eastAsia" w:ascii="仿宋_GB2312" w:eastAsia="仿宋_GB2312" w:cs="仿宋_GB2312"/>
          <w:bCs/>
          <w:color w:val="auto"/>
          <w:kern w:val="0"/>
          <w:sz w:val="32"/>
          <w:szCs w:val="32"/>
          <w:lang w:eastAsia="zh-CN"/>
        </w:rPr>
        <w:t>大</w:t>
      </w:r>
      <w:r>
        <w:rPr>
          <w:rFonts w:hint="eastAsia" w:ascii="仿宋_GB2312" w:eastAsia="仿宋_GB2312" w:cs="仿宋_GB2312"/>
          <w:bCs/>
          <w:color w:val="auto"/>
          <w:kern w:val="0"/>
          <w:sz w:val="32"/>
          <w:szCs w:val="32"/>
        </w:rPr>
        <w:t>于年初预算数的主要原因是调整预算数。</w:t>
      </w:r>
    </w:p>
    <w:p>
      <w:pPr>
        <w:autoSpaceDE w:val="0"/>
        <w:autoSpaceDN w:val="0"/>
        <w:adjustRightInd w:val="0"/>
        <w:spacing w:line="560" w:lineRule="exact"/>
        <w:ind w:firstLine="640" w:firstLineChars="200"/>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7.</w:t>
      </w:r>
      <w:r>
        <w:rPr>
          <w:rFonts w:hint="eastAsia" w:ascii="仿宋_GB2312" w:eastAsia="仿宋_GB2312" w:cs="仿宋_GB2312"/>
          <w:bCs/>
          <w:color w:val="auto"/>
          <w:kern w:val="0"/>
          <w:sz w:val="32"/>
          <w:szCs w:val="32"/>
        </w:rPr>
        <w:t>住房保障支出（221类）住房改革支出（02款）住房公积金（01项）。年初预算为</w:t>
      </w:r>
      <w:r>
        <w:rPr>
          <w:rFonts w:hint="eastAsia" w:ascii="仿宋_GB2312" w:eastAsia="仿宋_GB2312" w:cs="仿宋_GB2312"/>
          <w:bCs/>
          <w:color w:val="auto"/>
          <w:kern w:val="0"/>
          <w:sz w:val="32"/>
          <w:szCs w:val="32"/>
          <w:lang w:val="en-US" w:eastAsia="zh-CN"/>
        </w:rPr>
        <w:t>2.61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3.68</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141</w:t>
      </w:r>
      <w:r>
        <w:rPr>
          <w:rFonts w:hint="eastAsia" w:ascii="仿宋_GB2312" w:eastAsia="仿宋_GB2312" w:cs="仿宋_GB2312"/>
          <w:bCs/>
          <w:color w:val="auto"/>
          <w:kern w:val="0"/>
          <w:sz w:val="32"/>
          <w:szCs w:val="32"/>
        </w:rPr>
        <w:t>%。决算数大于年初预算数的主要原因是调整预算数。</w:t>
      </w:r>
    </w:p>
    <w:p>
      <w:pPr>
        <w:numPr>
          <w:ilvl w:val="0"/>
          <w:numId w:val="0"/>
        </w:numPr>
        <w:autoSpaceDE w:val="0"/>
        <w:autoSpaceDN w:val="0"/>
        <w:adjustRightInd w:val="0"/>
        <w:spacing w:line="580" w:lineRule="exact"/>
        <w:ind w:firstLine="640" w:firstLineChars="200"/>
        <w:jc w:val="both"/>
        <w:rPr>
          <w:rFonts w:ascii="仿宋_GB2312" w:eastAsia="仿宋_GB2312" w:cs="仿宋_GB2312"/>
          <w:b/>
          <w:color w:val="auto"/>
          <w:kern w:val="0"/>
          <w:sz w:val="32"/>
          <w:szCs w:val="32"/>
        </w:rPr>
      </w:pPr>
      <w:r>
        <w:rPr>
          <w:rFonts w:hint="eastAsia" w:ascii="仿宋_GB2312" w:eastAsia="仿宋_GB2312" w:cs="仿宋_GB2312"/>
          <w:bCs/>
          <w:color w:val="auto"/>
          <w:kern w:val="0"/>
          <w:sz w:val="32"/>
          <w:szCs w:val="32"/>
        </w:rPr>
        <w:t>六、</w:t>
      </w:r>
      <w:r>
        <w:rPr>
          <w:rFonts w:hint="eastAsia" w:ascii="仿宋_GB2312" w:eastAsia="仿宋_GB2312" w:cs="仿宋_GB2312"/>
          <w:b/>
          <w:color w:val="auto"/>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2020年度财政拨款基本支出</w:t>
      </w:r>
      <w:r>
        <w:rPr>
          <w:rFonts w:hint="eastAsia" w:ascii="仿宋_GB2312" w:eastAsia="仿宋_GB2312" w:cs="仿宋_GB2312"/>
          <w:bCs/>
          <w:color w:val="auto"/>
          <w:kern w:val="0"/>
          <w:sz w:val="32"/>
          <w:szCs w:val="32"/>
          <w:lang w:val="en-US" w:eastAsia="zh-CN"/>
        </w:rPr>
        <w:t>34.89</w:t>
      </w:r>
      <w:r>
        <w:rPr>
          <w:rFonts w:hint="eastAsia" w:ascii="仿宋_GB2312" w:eastAsia="仿宋_GB2312" w:cs="仿宋_GB2312"/>
          <w:bCs/>
          <w:color w:val="auto"/>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人员经费</w:t>
      </w:r>
      <w:r>
        <w:rPr>
          <w:rFonts w:hint="eastAsia" w:ascii="仿宋_GB2312" w:eastAsia="仿宋_GB2312" w:cs="仿宋_GB2312"/>
          <w:bCs/>
          <w:color w:val="auto"/>
          <w:kern w:val="0"/>
          <w:sz w:val="32"/>
          <w:szCs w:val="32"/>
          <w:lang w:val="en-US" w:eastAsia="zh-CN"/>
        </w:rPr>
        <w:t>30.11</w:t>
      </w:r>
      <w:r>
        <w:rPr>
          <w:rFonts w:hint="eastAsia" w:ascii="仿宋_GB2312" w:eastAsia="仿宋_GB2312" w:cs="仿宋_GB2312"/>
          <w:bCs/>
          <w:color w:val="auto"/>
          <w:kern w:val="0"/>
          <w:sz w:val="32"/>
          <w:szCs w:val="32"/>
        </w:rPr>
        <w:t>万元，主要包括：基本工资、津贴补贴、 奖金、伙食补助费、绩效工资、机关事业单位基本养老保险缴费、职业年金缴费、其他社会保障缴费、其他工资福利支出、退休费、抚恤金、生活补助、医疗费、奖励金、住房公积金</w:t>
      </w:r>
      <w:r>
        <w:rPr>
          <w:rFonts w:hint="eastAsia" w:ascii="仿宋_GB2312" w:eastAsia="仿宋_GB2312" w:cs="仿宋_GB2312"/>
          <w:bCs/>
          <w:color w:val="auto"/>
          <w:kern w:val="0"/>
          <w:sz w:val="32"/>
          <w:szCs w:val="32"/>
          <w:lang w:eastAsia="zh-CN"/>
        </w:rPr>
        <w:t>等</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0" w:firstLineChars="200"/>
        <w:jc w:val="both"/>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公用经费</w:t>
      </w:r>
      <w:r>
        <w:rPr>
          <w:rFonts w:hint="eastAsia" w:ascii="仿宋_GB2312" w:eastAsia="仿宋_GB2312" w:cs="仿宋_GB2312"/>
          <w:bCs/>
          <w:color w:val="auto"/>
          <w:kern w:val="0"/>
          <w:sz w:val="32"/>
          <w:szCs w:val="32"/>
          <w:lang w:val="en-US" w:eastAsia="zh-CN"/>
        </w:rPr>
        <w:t>4.77</w:t>
      </w:r>
      <w:r>
        <w:rPr>
          <w:rFonts w:hint="eastAsia" w:ascii="仿宋_GB2312" w:eastAsia="仿宋_GB2312" w:cs="仿宋_GB2312"/>
          <w:bCs/>
          <w:color w:val="auto"/>
          <w:kern w:val="0"/>
          <w:sz w:val="32"/>
          <w:szCs w:val="32"/>
        </w:rPr>
        <w:t>万元，主要包括：办公费、印刷费、咨询费、手续费、水费、电费、邮电费、取暖费、物业管理费、差旅费、因公出国（境）费用、维修（护）费、租赁费、会议费、培训费、公务接待费、专用材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Cs/>
          <w:color w:val="auto"/>
          <w:kern w:val="0"/>
          <w:sz w:val="32"/>
          <w:szCs w:val="32"/>
          <w:lang w:eastAsia="zh-CN"/>
        </w:rPr>
        <w:t>等。</w:t>
      </w:r>
    </w:p>
    <w:p>
      <w:pPr>
        <w:autoSpaceDE w:val="0"/>
        <w:autoSpaceDN w:val="0"/>
        <w:adjustRightInd w:val="0"/>
        <w:spacing w:line="58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七、</w:t>
      </w:r>
      <w:r>
        <w:rPr>
          <w:rFonts w:hint="eastAsia" w:ascii="仿宋_GB2312" w:eastAsia="仿宋_GB2312" w:cs="仿宋_GB2312"/>
          <w:b/>
          <w:color w:val="auto"/>
          <w:kern w:val="0"/>
          <w:sz w:val="32"/>
          <w:szCs w:val="32"/>
        </w:rPr>
        <w:t>2020 年度一般公共预算财政拨款“三公” 经费支出决算情况</w:t>
      </w:r>
      <w:r>
        <w:rPr>
          <w:rFonts w:hint="eastAsia" w:ascii="仿宋_GB2312" w:eastAsia="仿宋_GB2312" w:cs="仿宋_GB2312"/>
          <w:bCs/>
          <w:color w:val="auto"/>
          <w:kern w:val="0"/>
          <w:sz w:val="32"/>
          <w:szCs w:val="32"/>
        </w:rPr>
        <w:t xml:space="preserve"> </w:t>
      </w:r>
    </w:p>
    <w:p>
      <w:pPr>
        <w:autoSpaceDE w:val="0"/>
        <w:autoSpaceDN w:val="0"/>
        <w:adjustRightInd w:val="0"/>
        <w:spacing w:line="580" w:lineRule="exact"/>
        <w:ind w:firstLine="640" w:firstLineChars="200"/>
        <w:jc w:val="both"/>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（一）“三公”经费财政拨款支出决算总体情况 </w:t>
      </w:r>
    </w:p>
    <w:p>
      <w:p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rPr>
        <w:t>2020 年度“三公”经费财政拨款支出预算为</w:t>
      </w:r>
      <w:r>
        <w:rPr>
          <w:rFonts w:hint="eastAsia" w:ascii="仿宋_GB2312" w:eastAsia="仿宋_GB2312" w:cs="仿宋_GB2312"/>
          <w:bCs/>
          <w:color w:val="auto"/>
          <w:kern w:val="0"/>
          <w:sz w:val="32"/>
          <w:szCs w:val="32"/>
          <w:lang w:val="en-US" w:eastAsia="zh-CN"/>
        </w:rPr>
        <w:t>0.11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0.07</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63.64</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w:t>
      </w:r>
      <w:r>
        <w:rPr>
          <w:rFonts w:hint="eastAsia" w:ascii="仿宋_GB2312" w:eastAsia="仿宋_GB2312" w:cs="仿宋_GB2312"/>
          <w:bCs/>
          <w:color w:val="auto"/>
          <w:kern w:val="0"/>
          <w:sz w:val="32"/>
          <w:szCs w:val="32"/>
        </w:rPr>
        <w:t>其中：公务接待费支出决算为</w:t>
      </w:r>
      <w:r>
        <w:rPr>
          <w:rFonts w:hint="eastAsia" w:ascii="仿宋_GB2312" w:eastAsia="仿宋_GB2312" w:cs="仿宋_GB2312"/>
          <w:bCs/>
          <w:color w:val="auto"/>
          <w:kern w:val="0"/>
          <w:sz w:val="32"/>
          <w:szCs w:val="32"/>
          <w:lang w:val="en-US" w:eastAsia="zh-CN"/>
        </w:rPr>
        <w:t>0.07</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%。2020年度“三公”经费支出决算数小于预算数的主要原因是认真贯彻落实中央</w:t>
      </w:r>
      <w:bookmarkStart w:id="0" w:name="_GoBack"/>
      <w:bookmarkEnd w:id="0"/>
      <w:r>
        <w:rPr>
          <w:rFonts w:hint="eastAsia" w:ascii="仿宋_GB2312" w:eastAsia="仿宋_GB2312" w:cs="仿宋_GB2312"/>
          <w:bCs/>
          <w:color w:val="auto"/>
          <w:kern w:val="0"/>
          <w:sz w:val="32"/>
          <w:szCs w:val="32"/>
        </w:rPr>
        <w:t>八项规定精神和厉行节约要求，进一步从严控制“三公”经费开支，全年实际支出比预算有所节约</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 xml:space="preserve">  </w:t>
      </w:r>
    </w:p>
    <w:p>
      <w:pPr>
        <w:autoSpaceDE w:val="0"/>
        <w:autoSpaceDN w:val="0"/>
        <w:adjustRightInd w:val="0"/>
        <w:spacing w:line="580" w:lineRule="exact"/>
        <w:ind w:firstLine="640" w:firstLineChars="200"/>
        <w:jc w:val="both"/>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2020年度“三公”经费财政拨款支出决算数比2019年</w:t>
      </w:r>
      <w:r>
        <w:rPr>
          <w:rFonts w:hint="eastAsia" w:ascii="仿宋_GB2312" w:eastAsia="仿宋_GB2312" w:cs="仿宋_GB2312"/>
          <w:bCs/>
          <w:color w:val="auto"/>
          <w:kern w:val="0"/>
          <w:sz w:val="32"/>
          <w:szCs w:val="32"/>
          <w:lang w:eastAsia="zh-CN"/>
        </w:rPr>
        <w:t>增加</w:t>
      </w:r>
      <w:r>
        <w:rPr>
          <w:rFonts w:hint="eastAsia" w:ascii="仿宋_GB2312" w:eastAsia="仿宋_GB2312" w:cs="仿宋_GB2312"/>
          <w:bCs/>
          <w:color w:val="auto"/>
          <w:kern w:val="0"/>
          <w:sz w:val="32"/>
          <w:szCs w:val="32"/>
          <w:lang w:val="en-US" w:eastAsia="zh-CN"/>
        </w:rPr>
        <w:t>0.07</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增加</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%，其中：公务接待费支出决算</w:t>
      </w:r>
      <w:r>
        <w:rPr>
          <w:rFonts w:hint="eastAsia" w:ascii="仿宋_GB2312" w:eastAsia="仿宋_GB2312" w:cs="仿宋_GB2312"/>
          <w:bCs/>
          <w:color w:val="auto"/>
          <w:kern w:val="0"/>
          <w:sz w:val="32"/>
          <w:szCs w:val="32"/>
          <w:lang w:eastAsia="zh-CN"/>
        </w:rPr>
        <w:t>增加</w:t>
      </w:r>
      <w:r>
        <w:rPr>
          <w:rFonts w:hint="eastAsia" w:ascii="仿宋_GB2312" w:eastAsia="仿宋_GB2312" w:cs="仿宋_GB2312"/>
          <w:bCs/>
          <w:color w:val="auto"/>
          <w:kern w:val="0"/>
          <w:sz w:val="32"/>
          <w:szCs w:val="32"/>
          <w:lang w:val="en-US" w:eastAsia="zh-CN"/>
        </w:rPr>
        <w:t>0.07</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增加</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autoSpaceDE w:val="0"/>
        <w:autoSpaceDN w:val="0"/>
        <w:adjustRightInd w:val="0"/>
        <w:spacing w:line="580" w:lineRule="exact"/>
        <w:jc w:val="both"/>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公务接待费支出</w:t>
      </w:r>
      <w:r>
        <w:rPr>
          <w:rFonts w:hint="eastAsia" w:ascii="仿宋_GB2312" w:eastAsia="仿宋_GB2312" w:cs="仿宋_GB2312"/>
          <w:bCs/>
          <w:color w:val="auto"/>
          <w:kern w:val="0"/>
          <w:sz w:val="32"/>
          <w:szCs w:val="32"/>
          <w:lang w:eastAsia="zh-CN"/>
        </w:rPr>
        <w:t>增加</w:t>
      </w:r>
      <w:r>
        <w:rPr>
          <w:rFonts w:hint="eastAsia" w:ascii="仿宋_GB2312" w:eastAsia="仿宋_GB2312" w:cs="仿宋_GB2312"/>
          <w:bCs/>
          <w:color w:val="auto"/>
          <w:kern w:val="0"/>
          <w:sz w:val="32"/>
          <w:szCs w:val="32"/>
        </w:rPr>
        <w:t>的原因是</w:t>
      </w:r>
      <w:r>
        <w:rPr>
          <w:rFonts w:hint="eastAsia" w:ascii="仿宋_GB2312" w:eastAsia="仿宋_GB2312" w:cs="仿宋_GB2312"/>
          <w:bCs/>
          <w:color w:val="auto"/>
          <w:kern w:val="0"/>
          <w:sz w:val="32"/>
          <w:szCs w:val="32"/>
          <w:lang w:eastAsia="zh-CN"/>
        </w:rPr>
        <w:t>上级部门来柳调研接待</w:t>
      </w:r>
      <w:r>
        <w:rPr>
          <w:rFonts w:hint="eastAsia" w:ascii="仿宋_GB2312" w:eastAsia="仿宋_GB2312" w:cs="仿宋_GB2312"/>
          <w:bCs/>
          <w:color w:val="auto"/>
          <w:kern w:val="0"/>
          <w:sz w:val="32"/>
          <w:szCs w:val="32"/>
        </w:rPr>
        <w:t>。</w:t>
      </w:r>
    </w:p>
    <w:p>
      <w:pPr>
        <w:autoSpaceDE w:val="0"/>
        <w:autoSpaceDN w:val="0"/>
        <w:adjustRightInd w:val="0"/>
        <w:spacing w:line="580" w:lineRule="exact"/>
        <w:jc w:val="both"/>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（二）“三公”经费财政拨款支出决算具体情况</w:t>
      </w:r>
    </w:p>
    <w:p>
      <w:pPr>
        <w:autoSpaceDE w:val="0"/>
        <w:autoSpaceDN w:val="0"/>
        <w:adjustRightInd w:val="0"/>
        <w:spacing w:line="580" w:lineRule="exact"/>
        <w:jc w:val="both"/>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2020年度“三公”经费财政拨款支出决算中，公务接待费支出决算</w:t>
      </w:r>
      <w:r>
        <w:rPr>
          <w:rFonts w:hint="eastAsia" w:ascii="仿宋_GB2312" w:eastAsia="仿宋_GB2312" w:cs="仿宋_GB2312"/>
          <w:bCs/>
          <w:color w:val="auto"/>
          <w:kern w:val="0"/>
          <w:sz w:val="32"/>
          <w:szCs w:val="32"/>
          <w:lang w:val="en-US" w:eastAsia="zh-CN"/>
        </w:rPr>
        <w:t>0.07</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%。共</w:t>
      </w:r>
      <w:r>
        <w:rPr>
          <w:rFonts w:hint="eastAsia" w:ascii="仿宋_GB2312" w:eastAsia="仿宋_GB2312" w:cs="仿宋_GB2312"/>
          <w:bCs/>
          <w:color w:val="auto"/>
          <w:kern w:val="0"/>
          <w:sz w:val="32"/>
          <w:szCs w:val="32"/>
          <w:lang w:eastAsia="zh-CN"/>
        </w:rPr>
        <w:t>接待国内来访团组</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eastAsia="zh-CN"/>
        </w:rPr>
        <w:t>个</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来宾</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人次</w:t>
      </w:r>
      <w:r>
        <w:rPr>
          <w:rFonts w:hint="eastAsia" w:ascii="仿宋_GB2312" w:eastAsia="仿宋_GB2312" w:cs="仿宋_GB2312"/>
          <w:bCs/>
          <w:color w:val="auto"/>
          <w:kern w:val="0"/>
          <w:sz w:val="32"/>
          <w:szCs w:val="32"/>
        </w:rPr>
        <w:t>。主要用于</w:t>
      </w:r>
      <w:r>
        <w:rPr>
          <w:rFonts w:hint="eastAsia" w:ascii="仿宋_GB2312" w:eastAsia="仿宋_GB2312" w:cs="仿宋_GB2312"/>
          <w:bCs/>
          <w:color w:val="auto"/>
          <w:kern w:val="0"/>
          <w:sz w:val="32"/>
          <w:szCs w:val="32"/>
          <w:lang w:eastAsia="zh-CN"/>
        </w:rPr>
        <w:t>上级部门来柳调研</w:t>
      </w:r>
      <w:r>
        <w:rPr>
          <w:rFonts w:hint="eastAsia" w:ascii="仿宋_GB2312" w:eastAsia="仿宋_GB2312" w:cs="仿宋_GB2312"/>
          <w:bCs/>
          <w:color w:val="auto"/>
          <w:kern w:val="0"/>
          <w:sz w:val="32"/>
          <w:szCs w:val="32"/>
        </w:rPr>
        <w:t>接待。</w:t>
      </w:r>
    </w:p>
    <w:p>
      <w:pPr>
        <w:autoSpaceDE w:val="0"/>
        <w:autoSpaceDN w:val="0"/>
        <w:adjustRightInd w:val="0"/>
        <w:spacing w:line="580" w:lineRule="exact"/>
        <w:jc w:val="both"/>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 xml:space="preserve">    2.公务用车购置及运行费支出0万元。其中：公务用车购置支出为0万元。公务用车运行支出0万元。2020年，机关所属单位开支财政拨款的公务用车保有量为0辆。</w:t>
      </w: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val="en-US" w:eastAsia="zh-CN"/>
        </w:rPr>
        <w:t xml:space="preserve">  </w:t>
      </w:r>
    </w:p>
    <w:p>
      <w:pPr>
        <w:autoSpaceDE w:val="0"/>
        <w:autoSpaceDN w:val="0"/>
        <w:adjustRightInd w:val="0"/>
        <w:spacing w:line="580" w:lineRule="exact"/>
        <w:ind w:firstLine="643" w:firstLineChars="200"/>
        <w:jc w:val="both"/>
        <w:rPr>
          <w:rFonts w:ascii="仿宋_GB2312" w:eastAsia="仿宋_GB2312" w:cs="仿宋_GB2312"/>
          <w:bCs/>
          <w:color w:val="auto"/>
          <w:kern w:val="0"/>
          <w:sz w:val="32"/>
          <w:szCs w:val="32"/>
        </w:rPr>
      </w:pPr>
      <w:r>
        <w:rPr>
          <w:rFonts w:hint="eastAsia" w:ascii="仿宋_GB2312" w:eastAsia="仿宋_GB2312" w:cs="仿宋_GB2312"/>
          <w:b/>
          <w:color w:val="auto"/>
          <w:kern w:val="0"/>
          <w:sz w:val="32"/>
          <w:szCs w:val="32"/>
        </w:rPr>
        <w:t>八、2020 年度政府性基金预算财政拨款收入支出决算情况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0"/>
        <w:jc w:val="left"/>
        <w:textAlignment w:val="auto"/>
        <w:outlineLvl w:val="9"/>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本</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2020年度</w:t>
      </w:r>
      <w:r>
        <w:rPr>
          <w:rFonts w:hint="eastAsia" w:ascii="仿宋_GB2312" w:eastAsia="仿宋_GB2312" w:cs="仿宋_GB2312"/>
          <w:bCs/>
          <w:color w:val="auto"/>
          <w:kern w:val="0"/>
          <w:sz w:val="32"/>
          <w:szCs w:val="32"/>
          <w:lang w:eastAsia="zh-CN"/>
        </w:rPr>
        <w:t>无</w:t>
      </w:r>
      <w:r>
        <w:rPr>
          <w:rFonts w:hint="eastAsia" w:ascii="仿宋_GB2312" w:eastAsia="仿宋_GB2312" w:cs="仿宋_GB2312"/>
          <w:bCs/>
          <w:color w:val="auto"/>
          <w:kern w:val="0"/>
          <w:sz w:val="32"/>
          <w:szCs w:val="32"/>
        </w:rPr>
        <w:t>政府</w:t>
      </w:r>
      <w:r>
        <w:rPr>
          <w:rFonts w:hint="eastAsia" w:ascii="仿宋_GB2312" w:eastAsia="仿宋_GB2312" w:cs="仿宋_GB2312"/>
          <w:bCs/>
          <w:color w:val="auto"/>
          <w:kern w:val="0"/>
          <w:sz w:val="32"/>
          <w:szCs w:val="32"/>
          <w:lang w:eastAsia="zh-CN"/>
        </w:rPr>
        <w:t>性</w:t>
      </w:r>
      <w:r>
        <w:rPr>
          <w:rFonts w:hint="eastAsia" w:ascii="仿宋_GB2312" w:eastAsia="仿宋_GB2312" w:cs="仿宋_GB2312"/>
          <w:bCs/>
          <w:color w:val="auto"/>
          <w:kern w:val="0"/>
          <w:sz w:val="32"/>
          <w:szCs w:val="32"/>
        </w:rPr>
        <w:t>基金预算财政拨款收支</w:t>
      </w:r>
      <w:r>
        <w:rPr>
          <w:rFonts w:hint="eastAsia" w:ascii="仿宋_GB2312" w:eastAsia="仿宋_GB2312" w:cs="仿宋_GB2312"/>
          <w:bCs/>
          <w:color w:val="auto"/>
          <w:kern w:val="0"/>
          <w:sz w:val="32"/>
          <w:szCs w:val="32"/>
          <w:lang w:eastAsia="zh-CN"/>
        </w:rPr>
        <w:t>。</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both"/>
        <w:textAlignment w:val="auto"/>
        <w:outlineLvl w:val="9"/>
        <w:rPr>
          <w:rFonts w:hint="default" w:ascii="仿宋_GB2312" w:eastAsia="仿宋_GB2312" w:cs="仿宋_GB2312"/>
          <w:bCs/>
          <w:color w:val="auto"/>
          <w:kern w:val="0"/>
          <w:sz w:val="32"/>
          <w:szCs w:val="32"/>
          <w:lang w:val="en-US" w:eastAsia="zh-CN"/>
        </w:rPr>
      </w:pP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643" w:firstLineChars="200"/>
        <w:jc w:val="left"/>
        <w:textAlignment w:val="auto"/>
        <w:outlineLvl w:val="9"/>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lang w:val="en-US" w:eastAsia="zh-CN"/>
        </w:rPr>
        <w:t>十</w:t>
      </w:r>
      <w:r>
        <w:rPr>
          <w:rFonts w:hint="eastAsia" w:ascii="仿宋_GB2312" w:eastAsia="仿宋_GB2312" w:cs="仿宋_GB2312"/>
          <w:b/>
          <w:color w:val="auto"/>
          <w:kern w:val="0"/>
          <w:sz w:val="32"/>
          <w:szCs w:val="32"/>
        </w:rPr>
        <w:t>、2</w:t>
      </w:r>
      <w:r>
        <w:rPr>
          <w:rFonts w:hint="eastAsia" w:eastAsia="仿宋_GB2312"/>
          <w:b/>
          <w:color w:val="auto"/>
          <w:kern w:val="0"/>
          <w:sz w:val="32"/>
          <w:szCs w:val="32"/>
        </w:rPr>
        <w:t>020</w:t>
      </w:r>
      <w:r>
        <w:rPr>
          <w:rFonts w:hint="eastAsia" w:ascii="仿宋_GB2312" w:eastAsia="仿宋_GB2312" w:cs="仿宋_GB2312"/>
          <w:b/>
          <w:color w:val="auto"/>
          <w:kern w:val="0"/>
          <w:sz w:val="32"/>
          <w:szCs w:val="32"/>
        </w:rPr>
        <w:t xml:space="preserve"> 年度预算绩效情况说明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jc w:val="left"/>
        <w:textAlignment w:val="auto"/>
        <w:outlineLvl w:val="9"/>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eastAsia="zh-CN"/>
        </w:rPr>
        <w:t>本</w:t>
      </w:r>
      <w:r>
        <w:rPr>
          <w:rFonts w:hint="eastAsia" w:ascii="仿宋_GB2312" w:eastAsia="仿宋_GB2312" w:cs="仿宋_GB2312"/>
          <w:bCs/>
          <w:color w:val="auto"/>
          <w:kern w:val="0"/>
          <w:sz w:val="32"/>
          <w:szCs w:val="32"/>
          <w:lang w:val="en-US" w:eastAsia="zh-CN"/>
        </w:rPr>
        <w:t>单位2020年度整体预算支出绩效自评优秀，不涉及项目</w:t>
      </w:r>
      <w:r>
        <w:rPr>
          <w:rFonts w:hint="eastAsia" w:ascii="仿宋_GB2312" w:eastAsia="仿宋_GB2312" w:cs="仿宋_GB2312"/>
          <w:bCs/>
          <w:color w:val="auto"/>
          <w:kern w:val="0"/>
          <w:sz w:val="32"/>
          <w:szCs w:val="32"/>
        </w:rPr>
        <w:t>预算</w:t>
      </w:r>
      <w:r>
        <w:rPr>
          <w:rFonts w:hint="eastAsia" w:ascii="仿宋_GB2312" w:eastAsia="仿宋_GB2312" w:cs="仿宋_GB2312"/>
          <w:bCs/>
          <w:color w:val="auto"/>
          <w:kern w:val="0"/>
          <w:sz w:val="32"/>
          <w:szCs w:val="32"/>
          <w:lang w:eastAsia="zh-CN"/>
        </w:rPr>
        <w:t>支出</w:t>
      </w:r>
      <w:r>
        <w:rPr>
          <w:rFonts w:hint="eastAsia" w:ascii="仿宋_GB2312" w:eastAsia="仿宋_GB2312" w:cs="仿宋_GB2312"/>
          <w:bCs/>
          <w:color w:val="auto"/>
          <w:kern w:val="0"/>
          <w:sz w:val="32"/>
          <w:szCs w:val="32"/>
        </w:rPr>
        <w:t>绩效自评。</w:t>
      </w:r>
    </w:p>
    <w:p>
      <w:pPr>
        <w:autoSpaceDE w:val="0"/>
        <w:autoSpaceDN w:val="0"/>
        <w:adjustRightInd w:val="0"/>
        <w:spacing w:line="580" w:lineRule="exact"/>
        <w:ind w:firstLine="643" w:firstLineChars="200"/>
        <w:jc w:val="left"/>
        <w:rPr>
          <w:rFonts w:ascii="仿宋_GB2312" w:eastAsia="仿宋_GB2312" w:cs="仿宋_GB2312"/>
          <w:b/>
          <w:color w:val="auto"/>
          <w:kern w:val="0"/>
          <w:sz w:val="32"/>
          <w:szCs w:val="32"/>
        </w:rPr>
      </w:pPr>
      <w:r>
        <w:rPr>
          <w:rFonts w:hint="eastAsia" w:ascii="仿宋_GB2312" w:eastAsia="仿宋_GB2312" w:cs="仿宋_GB2312"/>
          <w:b/>
          <w:color w:val="auto"/>
          <w:kern w:val="0"/>
          <w:sz w:val="32"/>
          <w:szCs w:val="32"/>
        </w:rPr>
        <w:t>十</w:t>
      </w:r>
      <w:r>
        <w:rPr>
          <w:rFonts w:hint="eastAsia" w:ascii="仿宋_GB2312" w:eastAsia="仿宋_GB2312" w:cs="仿宋_GB2312"/>
          <w:b/>
          <w:color w:val="auto"/>
          <w:kern w:val="0"/>
          <w:sz w:val="32"/>
          <w:szCs w:val="32"/>
          <w:lang w:val="en-US" w:eastAsia="zh-CN"/>
        </w:rPr>
        <w:t>一</w:t>
      </w:r>
      <w:r>
        <w:rPr>
          <w:rFonts w:hint="eastAsia" w:ascii="仿宋_GB2312" w:eastAsia="仿宋_GB2312" w:cs="仿宋_GB2312"/>
          <w:b/>
          <w:color w:val="auto"/>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（一）</w:t>
      </w:r>
      <w:r>
        <w:rPr>
          <w:rFonts w:hint="eastAsia" w:ascii="仿宋_GB2312" w:eastAsia="仿宋_GB2312" w:cs="仿宋_GB2312"/>
          <w:bCs/>
          <w:color w:val="auto"/>
          <w:kern w:val="0"/>
          <w:sz w:val="32"/>
          <w:szCs w:val="32"/>
          <w:lang w:eastAsia="zh-CN"/>
        </w:rPr>
        <w:t>本单位</w:t>
      </w:r>
      <w:r>
        <w:rPr>
          <w:rFonts w:hint="eastAsia" w:ascii="仿宋_GB2312" w:eastAsia="仿宋_GB2312" w:cs="仿宋_GB2312"/>
          <w:bCs/>
          <w:color w:val="auto"/>
          <w:kern w:val="0"/>
          <w:sz w:val="32"/>
          <w:szCs w:val="32"/>
          <w:lang w:val="en-US" w:eastAsia="zh-CN"/>
        </w:rPr>
        <w:t>2020年度无</w:t>
      </w:r>
      <w:r>
        <w:rPr>
          <w:rFonts w:hint="eastAsia" w:ascii="仿宋_GB2312" w:eastAsia="仿宋_GB2312" w:cs="仿宋_GB2312"/>
          <w:bCs/>
          <w:color w:val="auto"/>
          <w:kern w:val="0"/>
          <w:sz w:val="32"/>
          <w:szCs w:val="32"/>
        </w:rPr>
        <w:t>机关运行经费支出。</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w:t>
      </w:r>
      <w:r>
        <w:rPr>
          <w:rFonts w:hint="eastAsia" w:ascii="仿宋_GB2312" w:eastAsia="仿宋_GB2312" w:cs="仿宋_GB2312"/>
          <w:bCs/>
          <w:color w:val="auto"/>
          <w:kern w:val="0"/>
          <w:sz w:val="32"/>
          <w:szCs w:val="32"/>
          <w:lang w:eastAsia="zh-CN"/>
        </w:rPr>
        <w:t>本单位</w:t>
      </w:r>
      <w:r>
        <w:rPr>
          <w:rFonts w:hint="eastAsia" w:ascii="仿宋_GB2312" w:eastAsia="仿宋_GB2312" w:cs="仿宋_GB2312"/>
          <w:bCs/>
          <w:color w:val="auto"/>
          <w:kern w:val="0"/>
          <w:sz w:val="32"/>
          <w:szCs w:val="32"/>
          <w:lang w:val="en-US" w:eastAsia="zh-CN"/>
        </w:rPr>
        <w:t>2020年度无</w:t>
      </w:r>
      <w:r>
        <w:rPr>
          <w:rFonts w:hint="eastAsia" w:ascii="仿宋_GB2312" w:eastAsia="仿宋_GB2312" w:cs="仿宋_GB2312"/>
          <w:bCs/>
          <w:color w:val="auto"/>
          <w:kern w:val="0"/>
          <w:sz w:val="32"/>
          <w:szCs w:val="32"/>
        </w:rPr>
        <w:t>政府采购支出。</w:t>
      </w:r>
    </w:p>
    <w:p>
      <w:pPr>
        <w:autoSpaceDE w:val="0"/>
        <w:autoSpaceDN w:val="0"/>
        <w:adjustRightInd w:val="0"/>
        <w:spacing w:line="580" w:lineRule="exact"/>
        <w:ind w:firstLine="640" w:firstLineChars="200"/>
        <w:jc w:val="left"/>
        <w:rPr>
          <w:rFonts w:ascii="仿宋_GB2312" w:eastAsia="仿宋_GB2312" w:cs="仿宋_GB2312"/>
          <w:color w:val="auto"/>
          <w:kern w:val="0"/>
          <w:sz w:val="32"/>
          <w:szCs w:val="32"/>
        </w:rPr>
      </w:pPr>
      <w:r>
        <w:rPr>
          <w:rFonts w:hint="eastAsia" w:ascii="仿宋_GB2312" w:eastAsia="仿宋_GB2312" w:cs="仿宋_GB2312"/>
          <w:bCs/>
          <w:color w:val="auto"/>
          <w:kern w:val="0"/>
          <w:sz w:val="32"/>
          <w:szCs w:val="32"/>
        </w:rPr>
        <w:t>（三）国有资产占用情况。截至年末</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共有车辆0辆；单价50万元以上通用设备0台（套），单价100万元以上专用设备0台（套）。</w:t>
      </w:r>
      <w:r>
        <w:rPr>
          <w:rFonts w:hint="eastAsia" w:ascii="仿宋_GB2312" w:eastAsia="仿宋_GB2312" w:cs="仿宋_GB2312"/>
          <w:color w:val="auto"/>
          <w:kern w:val="0"/>
          <w:sz w:val="32"/>
          <w:szCs w:val="32"/>
        </w:rPr>
        <w:t xml:space="preserve"> </w:t>
      </w:r>
    </w:p>
    <w:p>
      <w:pPr>
        <w:spacing w:line="580" w:lineRule="exact"/>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财政拨款收入：指市本级财政当年拨付的资金。</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年末结转和结余：指本年度或以前年度预算安排、因客观条件发生变化无法按原计划实施，需延迟到以后年度按有关规定继续使用的资金。</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基本支出：指为保障机构正常运转、完成日常工作任务而发生的人员支出和公用支出。</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项目支出：指在基本支出之外为完成特定行政任务和事业发展目标所发生的支出。</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494159"/>
    <w:rsid w:val="00521DE2"/>
    <w:rsid w:val="00565A4F"/>
    <w:rsid w:val="006C1367"/>
    <w:rsid w:val="00715385"/>
    <w:rsid w:val="00820588"/>
    <w:rsid w:val="009F45BF"/>
    <w:rsid w:val="00A66468"/>
    <w:rsid w:val="00BC18BA"/>
    <w:rsid w:val="00D91F45"/>
    <w:rsid w:val="00E55538"/>
    <w:rsid w:val="00F23857"/>
    <w:rsid w:val="00F66C5B"/>
    <w:rsid w:val="0115734E"/>
    <w:rsid w:val="015A0F2C"/>
    <w:rsid w:val="017601C8"/>
    <w:rsid w:val="01D106C6"/>
    <w:rsid w:val="021666FB"/>
    <w:rsid w:val="022B5700"/>
    <w:rsid w:val="023B4774"/>
    <w:rsid w:val="024F73A7"/>
    <w:rsid w:val="026042D1"/>
    <w:rsid w:val="027A4488"/>
    <w:rsid w:val="02F7322B"/>
    <w:rsid w:val="03112D71"/>
    <w:rsid w:val="03197230"/>
    <w:rsid w:val="03AF6FEF"/>
    <w:rsid w:val="03B10864"/>
    <w:rsid w:val="03F60F5E"/>
    <w:rsid w:val="03F86ADD"/>
    <w:rsid w:val="042A589C"/>
    <w:rsid w:val="04630425"/>
    <w:rsid w:val="0492045E"/>
    <w:rsid w:val="04991552"/>
    <w:rsid w:val="04C534D2"/>
    <w:rsid w:val="05082479"/>
    <w:rsid w:val="053E426B"/>
    <w:rsid w:val="05445DE6"/>
    <w:rsid w:val="055C3E34"/>
    <w:rsid w:val="05896507"/>
    <w:rsid w:val="05C60968"/>
    <w:rsid w:val="05E03A76"/>
    <w:rsid w:val="05F93DC1"/>
    <w:rsid w:val="06075650"/>
    <w:rsid w:val="0684514F"/>
    <w:rsid w:val="06A32391"/>
    <w:rsid w:val="06AC0C6B"/>
    <w:rsid w:val="06DC6EE5"/>
    <w:rsid w:val="06EB0E24"/>
    <w:rsid w:val="07063812"/>
    <w:rsid w:val="071E6C72"/>
    <w:rsid w:val="074A0E1F"/>
    <w:rsid w:val="07913DE3"/>
    <w:rsid w:val="07D6298A"/>
    <w:rsid w:val="07F23FD8"/>
    <w:rsid w:val="08050C3F"/>
    <w:rsid w:val="083C4F54"/>
    <w:rsid w:val="08537D4B"/>
    <w:rsid w:val="085573D7"/>
    <w:rsid w:val="08A362A4"/>
    <w:rsid w:val="08EA35B3"/>
    <w:rsid w:val="09461554"/>
    <w:rsid w:val="09500202"/>
    <w:rsid w:val="097B6D92"/>
    <w:rsid w:val="098C2FAC"/>
    <w:rsid w:val="098E367B"/>
    <w:rsid w:val="09B02936"/>
    <w:rsid w:val="09BA6CF4"/>
    <w:rsid w:val="09C9331B"/>
    <w:rsid w:val="09EB4E50"/>
    <w:rsid w:val="0A16030F"/>
    <w:rsid w:val="0A2254B3"/>
    <w:rsid w:val="0A2F3768"/>
    <w:rsid w:val="0A4931DE"/>
    <w:rsid w:val="0A54630C"/>
    <w:rsid w:val="0A7508CD"/>
    <w:rsid w:val="0ABB754D"/>
    <w:rsid w:val="0ABF33D7"/>
    <w:rsid w:val="0AE74584"/>
    <w:rsid w:val="0B416371"/>
    <w:rsid w:val="0B5F5F8C"/>
    <w:rsid w:val="0BB86A2B"/>
    <w:rsid w:val="0BDE6D8C"/>
    <w:rsid w:val="0BF54825"/>
    <w:rsid w:val="0C051FD1"/>
    <w:rsid w:val="0C143880"/>
    <w:rsid w:val="0C4440E6"/>
    <w:rsid w:val="0C594B92"/>
    <w:rsid w:val="0C640575"/>
    <w:rsid w:val="0C7E1513"/>
    <w:rsid w:val="0CAC23C9"/>
    <w:rsid w:val="0CE62F48"/>
    <w:rsid w:val="0CF22C94"/>
    <w:rsid w:val="0D4E14A6"/>
    <w:rsid w:val="0D644A12"/>
    <w:rsid w:val="0D683C7F"/>
    <w:rsid w:val="0D7B1EEE"/>
    <w:rsid w:val="0D824D52"/>
    <w:rsid w:val="0D8F04B0"/>
    <w:rsid w:val="0DAB5F5D"/>
    <w:rsid w:val="0DE15E2A"/>
    <w:rsid w:val="0E196183"/>
    <w:rsid w:val="0E281A58"/>
    <w:rsid w:val="0E58759C"/>
    <w:rsid w:val="0E6852B3"/>
    <w:rsid w:val="0E877CA6"/>
    <w:rsid w:val="0ED773FB"/>
    <w:rsid w:val="0EEE6F7F"/>
    <w:rsid w:val="0F291E89"/>
    <w:rsid w:val="0F5225AF"/>
    <w:rsid w:val="0F59213A"/>
    <w:rsid w:val="0F6B2A8C"/>
    <w:rsid w:val="0F701B5C"/>
    <w:rsid w:val="10022622"/>
    <w:rsid w:val="10285764"/>
    <w:rsid w:val="108C46CB"/>
    <w:rsid w:val="10CF26A0"/>
    <w:rsid w:val="10D0211C"/>
    <w:rsid w:val="10E14C5A"/>
    <w:rsid w:val="112E2BF1"/>
    <w:rsid w:val="113020F6"/>
    <w:rsid w:val="115A647B"/>
    <w:rsid w:val="11AE7966"/>
    <w:rsid w:val="124204B5"/>
    <w:rsid w:val="12B8405C"/>
    <w:rsid w:val="1326226F"/>
    <w:rsid w:val="132B58D3"/>
    <w:rsid w:val="13831F3C"/>
    <w:rsid w:val="138424AA"/>
    <w:rsid w:val="13956AFF"/>
    <w:rsid w:val="13A2791E"/>
    <w:rsid w:val="13B24893"/>
    <w:rsid w:val="13C702B9"/>
    <w:rsid w:val="13C87FE9"/>
    <w:rsid w:val="13CD4278"/>
    <w:rsid w:val="142033E4"/>
    <w:rsid w:val="14682E24"/>
    <w:rsid w:val="14A70CD3"/>
    <w:rsid w:val="15313066"/>
    <w:rsid w:val="153A4A61"/>
    <w:rsid w:val="15741737"/>
    <w:rsid w:val="157E6F9F"/>
    <w:rsid w:val="157F52DE"/>
    <w:rsid w:val="1598223D"/>
    <w:rsid w:val="15CA77D2"/>
    <w:rsid w:val="15DC4604"/>
    <w:rsid w:val="15F825A9"/>
    <w:rsid w:val="160F2257"/>
    <w:rsid w:val="163973BD"/>
    <w:rsid w:val="164730A8"/>
    <w:rsid w:val="169A7BCD"/>
    <w:rsid w:val="16A665F1"/>
    <w:rsid w:val="16DE3313"/>
    <w:rsid w:val="17301189"/>
    <w:rsid w:val="1739311B"/>
    <w:rsid w:val="173A3C17"/>
    <w:rsid w:val="17424D03"/>
    <w:rsid w:val="17537D6C"/>
    <w:rsid w:val="1777633F"/>
    <w:rsid w:val="17A02EDD"/>
    <w:rsid w:val="17A962CD"/>
    <w:rsid w:val="17C07356"/>
    <w:rsid w:val="17C9237E"/>
    <w:rsid w:val="17D469A6"/>
    <w:rsid w:val="17D63BB4"/>
    <w:rsid w:val="17DE0A3E"/>
    <w:rsid w:val="18310C1B"/>
    <w:rsid w:val="188902B6"/>
    <w:rsid w:val="18CA6FDD"/>
    <w:rsid w:val="190A715C"/>
    <w:rsid w:val="19497DDF"/>
    <w:rsid w:val="195A36D9"/>
    <w:rsid w:val="195C5CBC"/>
    <w:rsid w:val="195E3151"/>
    <w:rsid w:val="19844E64"/>
    <w:rsid w:val="19B265FC"/>
    <w:rsid w:val="19E25A66"/>
    <w:rsid w:val="19FE46B8"/>
    <w:rsid w:val="1A114173"/>
    <w:rsid w:val="1A423EAB"/>
    <w:rsid w:val="1A7B464C"/>
    <w:rsid w:val="1B9152A8"/>
    <w:rsid w:val="1BC665C4"/>
    <w:rsid w:val="1C0C5BA3"/>
    <w:rsid w:val="1C462381"/>
    <w:rsid w:val="1C7B36F7"/>
    <w:rsid w:val="1C7F5F18"/>
    <w:rsid w:val="1CB62272"/>
    <w:rsid w:val="1CC068C3"/>
    <w:rsid w:val="1CD24655"/>
    <w:rsid w:val="1CEF50F1"/>
    <w:rsid w:val="1CF050AC"/>
    <w:rsid w:val="1D103D05"/>
    <w:rsid w:val="1D1F41E9"/>
    <w:rsid w:val="1D55389F"/>
    <w:rsid w:val="1D741D20"/>
    <w:rsid w:val="1D7C62B0"/>
    <w:rsid w:val="1DA41F1C"/>
    <w:rsid w:val="1DBD6E00"/>
    <w:rsid w:val="1DCF05CF"/>
    <w:rsid w:val="1E0E00CA"/>
    <w:rsid w:val="1E2A162F"/>
    <w:rsid w:val="1E2C7E25"/>
    <w:rsid w:val="1E457015"/>
    <w:rsid w:val="1E621951"/>
    <w:rsid w:val="1E676BB9"/>
    <w:rsid w:val="1E6C20C9"/>
    <w:rsid w:val="1E9E626B"/>
    <w:rsid w:val="1ED43C4F"/>
    <w:rsid w:val="1EF01143"/>
    <w:rsid w:val="1F091852"/>
    <w:rsid w:val="1F5C0BA9"/>
    <w:rsid w:val="1FA00D11"/>
    <w:rsid w:val="1FC80E3C"/>
    <w:rsid w:val="1FFD3AB2"/>
    <w:rsid w:val="2002193B"/>
    <w:rsid w:val="203B7765"/>
    <w:rsid w:val="20484766"/>
    <w:rsid w:val="207A3EF8"/>
    <w:rsid w:val="20F74F1F"/>
    <w:rsid w:val="2126285A"/>
    <w:rsid w:val="21385D4A"/>
    <w:rsid w:val="21502FFA"/>
    <w:rsid w:val="21557A88"/>
    <w:rsid w:val="21581A16"/>
    <w:rsid w:val="216E5421"/>
    <w:rsid w:val="21844533"/>
    <w:rsid w:val="21A930E8"/>
    <w:rsid w:val="21DF5CE5"/>
    <w:rsid w:val="21E15471"/>
    <w:rsid w:val="21E62F00"/>
    <w:rsid w:val="21EE23D3"/>
    <w:rsid w:val="2200199D"/>
    <w:rsid w:val="22126FB1"/>
    <w:rsid w:val="22153BBE"/>
    <w:rsid w:val="2224790B"/>
    <w:rsid w:val="22410A03"/>
    <w:rsid w:val="224745AC"/>
    <w:rsid w:val="2251680E"/>
    <w:rsid w:val="22646A0C"/>
    <w:rsid w:val="228C6EE5"/>
    <w:rsid w:val="22A10E1C"/>
    <w:rsid w:val="22A13F18"/>
    <w:rsid w:val="22B21910"/>
    <w:rsid w:val="22CC3D67"/>
    <w:rsid w:val="22D05273"/>
    <w:rsid w:val="22D36F4A"/>
    <w:rsid w:val="23301815"/>
    <w:rsid w:val="235A2F8C"/>
    <w:rsid w:val="237D0B9A"/>
    <w:rsid w:val="23981B04"/>
    <w:rsid w:val="239A53BA"/>
    <w:rsid w:val="239C7B0D"/>
    <w:rsid w:val="23B16AB3"/>
    <w:rsid w:val="23CD5BA3"/>
    <w:rsid w:val="23D5025A"/>
    <w:rsid w:val="23EE3ADD"/>
    <w:rsid w:val="24502FC3"/>
    <w:rsid w:val="24530329"/>
    <w:rsid w:val="247B1542"/>
    <w:rsid w:val="24943087"/>
    <w:rsid w:val="25114CEC"/>
    <w:rsid w:val="25166CDC"/>
    <w:rsid w:val="25306F35"/>
    <w:rsid w:val="25777C0B"/>
    <w:rsid w:val="25BB3F52"/>
    <w:rsid w:val="25D67EF6"/>
    <w:rsid w:val="260600AB"/>
    <w:rsid w:val="26460DBA"/>
    <w:rsid w:val="265E0AB1"/>
    <w:rsid w:val="2664352A"/>
    <w:rsid w:val="267701C5"/>
    <w:rsid w:val="2698014E"/>
    <w:rsid w:val="26D833C8"/>
    <w:rsid w:val="26F849A7"/>
    <w:rsid w:val="271829BC"/>
    <w:rsid w:val="275252A9"/>
    <w:rsid w:val="27533A20"/>
    <w:rsid w:val="279E1B85"/>
    <w:rsid w:val="27A05A7F"/>
    <w:rsid w:val="27A16CD6"/>
    <w:rsid w:val="27A32023"/>
    <w:rsid w:val="27B6558C"/>
    <w:rsid w:val="27D2583F"/>
    <w:rsid w:val="280B4EB6"/>
    <w:rsid w:val="2817019D"/>
    <w:rsid w:val="28173165"/>
    <w:rsid w:val="281948E0"/>
    <w:rsid w:val="282E75EB"/>
    <w:rsid w:val="284226D7"/>
    <w:rsid w:val="28601DB0"/>
    <w:rsid w:val="288F7A6D"/>
    <w:rsid w:val="28DF7AC4"/>
    <w:rsid w:val="29576B4C"/>
    <w:rsid w:val="298A345F"/>
    <w:rsid w:val="298E14D6"/>
    <w:rsid w:val="29B83747"/>
    <w:rsid w:val="29BF4BA4"/>
    <w:rsid w:val="29E23D63"/>
    <w:rsid w:val="2A1A1673"/>
    <w:rsid w:val="2A450DA5"/>
    <w:rsid w:val="2A873BF4"/>
    <w:rsid w:val="2A8F341A"/>
    <w:rsid w:val="2A8F6F04"/>
    <w:rsid w:val="2AA01684"/>
    <w:rsid w:val="2ACE4E7C"/>
    <w:rsid w:val="2B0C4FDB"/>
    <w:rsid w:val="2B46318F"/>
    <w:rsid w:val="2B6F74EB"/>
    <w:rsid w:val="2BC150AD"/>
    <w:rsid w:val="2C3755C0"/>
    <w:rsid w:val="2C4219FE"/>
    <w:rsid w:val="2C583047"/>
    <w:rsid w:val="2C800FB8"/>
    <w:rsid w:val="2C8A6B69"/>
    <w:rsid w:val="2CC12E20"/>
    <w:rsid w:val="2CD80614"/>
    <w:rsid w:val="2CF83F4C"/>
    <w:rsid w:val="2CFC6CDF"/>
    <w:rsid w:val="2D631C82"/>
    <w:rsid w:val="2D7F7332"/>
    <w:rsid w:val="2DBF7E1A"/>
    <w:rsid w:val="2DD2176B"/>
    <w:rsid w:val="2DD21B46"/>
    <w:rsid w:val="2DDB33EF"/>
    <w:rsid w:val="2DEF61E3"/>
    <w:rsid w:val="2DF5437D"/>
    <w:rsid w:val="2E047127"/>
    <w:rsid w:val="2E140B53"/>
    <w:rsid w:val="2E550577"/>
    <w:rsid w:val="2E6A621E"/>
    <w:rsid w:val="2EA248AF"/>
    <w:rsid w:val="2F657BC5"/>
    <w:rsid w:val="2F907DBD"/>
    <w:rsid w:val="2FA3154C"/>
    <w:rsid w:val="2FB012E7"/>
    <w:rsid w:val="2FC75761"/>
    <w:rsid w:val="2FE234E6"/>
    <w:rsid w:val="30214204"/>
    <w:rsid w:val="30220AD8"/>
    <w:rsid w:val="3090773D"/>
    <w:rsid w:val="30A54499"/>
    <w:rsid w:val="30B279B9"/>
    <w:rsid w:val="30ED0F5D"/>
    <w:rsid w:val="311A1BF1"/>
    <w:rsid w:val="31381123"/>
    <w:rsid w:val="31A00A2F"/>
    <w:rsid w:val="31CC7B0B"/>
    <w:rsid w:val="32301B01"/>
    <w:rsid w:val="3232587C"/>
    <w:rsid w:val="32983643"/>
    <w:rsid w:val="32B03BBD"/>
    <w:rsid w:val="33316619"/>
    <w:rsid w:val="3335173D"/>
    <w:rsid w:val="336F3FF7"/>
    <w:rsid w:val="33774E24"/>
    <w:rsid w:val="337D4271"/>
    <w:rsid w:val="33E70F45"/>
    <w:rsid w:val="34020F86"/>
    <w:rsid w:val="344748C2"/>
    <w:rsid w:val="345A452C"/>
    <w:rsid w:val="34880222"/>
    <w:rsid w:val="34AD0A22"/>
    <w:rsid w:val="34BD739C"/>
    <w:rsid w:val="34C86B9B"/>
    <w:rsid w:val="34CA3A2E"/>
    <w:rsid w:val="3517065F"/>
    <w:rsid w:val="352431FB"/>
    <w:rsid w:val="3563741E"/>
    <w:rsid w:val="35960EBE"/>
    <w:rsid w:val="35B21729"/>
    <w:rsid w:val="35B62B72"/>
    <w:rsid w:val="35BD491E"/>
    <w:rsid w:val="35C57832"/>
    <w:rsid w:val="35F944AC"/>
    <w:rsid w:val="36681925"/>
    <w:rsid w:val="36731AFE"/>
    <w:rsid w:val="36791277"/>
    <w:rsid w:val="36B7669F"/>
    <w:rsid w:val="36BA4910"/>
    <w:rsid w:val="36DD6555"/>
    <w:rsid w:val="37003232"/>
    <w:rsid w:val="373D12CC"/>
    <w:rsid w:val="37443FBA"/>
    <w:rsid w:val="375411AD"/>
    <w:rsid w:val="377D6BD7"/>
    <w:rsid w:val="37993381"/>
    <w:rsid w:val="37C969A3"/>
    <w:rsid w:val="37CE315D"/>
    <w:rsid w:val="37CF6905"/>
    <w:rsid w:val="37EF1488"/>
    <w:rsid w:val="38533EA2"/>
    <w:rsid w:val="385545ED"/>
    <w:rsid w:val="386D6646"/>
    <w:rsid w:val="38853AC5"/>
    <w:rsid w:val="38A6232D"/>
    <w:rsid w:val="38B90269"/>
    <w:rsid w:val="38C9281C"/>
    <w:rsid w:val="38EA067B"/>
    <w:rsid w:val="392A5B17"/>
    <w:rsid w:val="394370C2"/>
    <w:rsid w:val="39465260"/>
    <w:rsid w:val="39981A48"/>
    <w:rsid w:val="399E165C"/>
    <w:rsid w:val="39A63F06"/>
    <w:rsid w:val="3A0B0668"/>
    <w:rsid w:val="3A2E7174"/>
    <w:rsid w:val="3A413D3A"/>
    <w:rsid w:val="3A56539A"/>
    <w:rsid w:val="3A9878A3"/>
    <w:rsid w:val="3AB15F0B"/>
    <w:rsid w:val="3AC4555C"/>
    <w:rsid w:val="3ACE1EE6"/>
    <w:rsid w:val="3AEE71C0"/>
    <w:rsid w:val="3B633A4A"/>
    <w:rsid w:val="3B827F36"/>
    <w:rsid w:val="3B8B3398"/>
    <w:rsid w:val="3BA66022"/>
    <w:rsid w:val="3BC00743"/>
    <w:rsid w:val="3BF304AB"/>
    <w:rsid w:val="3BF66B5E"/>
    <w:rsid w:val="3BFC76FC"/>
    <w:rsid w:val="3C32201C"/>
    <w:rsid w:val="3C3D1355"/>
    <w:rsid w:val="3C4C47B4"/>
    <w:rsid w:val="3C6231D5"/>
    <w:rsid w:val="3C9311A5"/>
    <w:rsid w:val="3CDE63B3"/>
    <w:rsid w:val="3CE472A6"/>
    <w:rsid w:val="3D4F2B91"/>
    <w:rsid w:val="3D6D55D8"/>
    <w:rsid w:val="3D712228"/>
    <w:rsid w:val="3D835CBF"/>
    <w:rsid w:val="3D9627F0"/>
    <w:rsid w:val="3D9C519B"/>
    <w:rsid w:val="3DD27F65"/>
    <w:rsid w:val="3DE16667"/>
    <w:rsid w:val="3EA067C3"/>
    <w:rsid w:val="3EA30A5D"/>
    <w:rsid w:val="3ED1439F"/>
    <w:rsid w:val="3EE770ED"/>
    <w:rsid w:val="3F0E0CE8"/>
    <w:rsid w:val="3F1122D4"/>
    <w:rsid w:val="3F38011F"/>
    <w:rsid w:val="3F80351C"/>
    <w:rsid w:val="3F9B2F82"/>
    <w:rsid w:val="3FD40E15"/>
    <w:rsid w:val="40076DA9"/>
    <w:rsid w:val="40233457"/>
    <w:rsid w:val="402B1593"/>
    <w:rsid w:val="40396E11"/>
    <w:rsid w:val="40540AE4"/>
    <w:rsid w:val="4055654F"/>
    <w:rsid w:val="408C3802"/>
    <w:rsid w:val="40971FBD"/>
    <w:rsid w:val="40B652EE"/>
    <w:rsid w:val="40EE6239"/>
    <w:rsid w:val="4136570D"/>
    <w:rsid w:val="413F7E17"/>
    <w:rsid w:val="41620A8C"/>
    <w:rsid w:val="419D2D4A"/>
    <w:rsid w:val="41B467DA"/>
    <w:rsid w:val="41D16750"/>
    <w:rsid w:val="42AC1B7C"/>
    <w:rsid w:val="42E226A2"/>
    <w:rsid w:val="4304067F"/>
    <w:rsid w:val="43145515"/>
    <w:rsid w:val="43414ED8"/>
    <w:rsid w:val="43446B14"/>
    <w:rsid w:val="435A48CF"/>
    <w:rsid w:val="43C9444F"/>
    <w:rsid w:val="43C952CB"/>
    <w:rsid w:val="43FC09F0"/>
    <w:rsid w:val="44057B1A"/>
    <w:rsid w:val="44623C50"/>
    <w:rsid w:val="44912486"/>
    <w:rsid w:val="44930CF8"/>
    <w:rsid w:val="44A70847"/>
    <w:rsid w:val="44A760F9"/>
    <w:rsid w:val="44B45493"/>
    <w:rsid w:val="44F13822"/>
    <w:rsid w:val="454D4FCC"/>
    <w:rsid w:val="456331BF"/>
    <w:rsid w:val="45AD1F14"/>
    <w:rsid w:val="45D8107B"/>
    <w:rsid w:val="45E150F8"/>
    <w:rsid w:val="463779EA"/>
    <w:rsid w:val="465D68D8"/>
    <w:rsid w:val="470A418F"/>
    <w:rsid w:val="472A12B6"/>
    <w:rsid w:val="472C342C"/>
    <w:rsid w:val="473473F8"/>
    <w:rsid w:val="474C6011"/>
    <w:rsid w:val="476B6582"/>
    <w:rsid w:val="478E50D3"/>
    <w:rsid w:val="47BB52F1"/>
    <w:rsid w:val="47E177BD"/>
    <w:rsid w:val="47E21254"/>
    <w:rsid w:val="48062B29"/>
    <w:rsid w:val="481C747C"/>
    <w:rsid w:val="48337D6C"/>
    <w:rsid w:val="485031C7"/>
    <w:rsid w:val="48575815"/>
    <w:rsid w:val="4869660F"/>
    <w:rsid w:val="48C21935"/>
    <w:rsid w:val="48DD56F7"/>
    <w:rsid w:val="48E744CD"/>
    <w:rsid w:val="48F76C35"/>
    <w:rsid w:val="490677F0"/>
    <w:rsid w:val="4929071F"/>
    <w:rsid w:val="494B3AD7"/>
    <w:rsid w:val="49821929"/>
    <w:rsid w:val="49D77116"/>
    <w:rsid w:val="49E011D1"/>
    <w:rsid w:val="4A1B37A1"/>
    <w:rsid w:val="4A2F5AE6"/>
    <w:rsid w:val="4A324B88"/>
    <w:rsid w:val="4A336A12"/>
    <w:rsid w:val="4A414327"/>
    <w:rsid w:val="4A797DD5"/>
    <w:rsid w:val="4AE147FE"/>
    <w:rsid w:val="4AEB22C5"/>
    <w:rsid w:val="4B3B364B"/>
    <w:rsid w:val="4BA35AA2"/>
    <w:rsid w:val="4BD031DC"/>
    <w:rsid w:val="4BEC706E"/>
    <w:rsid w:val="4C256E3D"/>
    <w:rsid w:val="4C2A702F"/>
    <w:rsid w:val="4C31651B"/>
    <w:rsid w:val="4C591C62"/>
    <w:rsid w:val="4C65574B"/>
    <w:rsid w:val="4CA6588C"/>
    <w:rsid w:val="4CB52F0F"/>
    <w:rsid w:val="4CD81455"/>
    <w:rsid w:val="4CF40D48"/>
    <w:rsid w:val="4D893058"/>
    <w:rsid w:val="4D9C0A8A"/>
    <w:rsid w:val="4DA94BBB"/>
    <w:rsid w:val="4DAA0B2A"/>
    <w:rsid w:val="4DB27206"/>
    <w:rsid w:val="4DC34540"/>
    <w:rsid w:val="4DFC345B"/>
    <w:rsid w:val="4E017DB5"/>
    <w:rsid w:val="4E1D0961"/>
    <w:rsid w:val="4E5706A1"/>
    <w:rsid w:val="4EB1238A"/>
    <w:rsid w:val="4F0908A2"/>
    <w:rsid w:val="4F387437"/>
    <w:rsid w:val="4F7A244A"/>
    <w:rsid w:val="4FB2148F"/>
    <w:rsid w:val="4FF508B5"/>
    <w:rsid w:val="504173BA"/>
    <w:rsid w:val="5059724A"/>
    <w:rsid w:val="50A12B01"/>
    <w:rsid w:val="50B14824"/>
    <w:rsid w:val="50BF75AE"/>
    <w:rsid w:val="50F7004D"/>
    <w:rsid w:val="51197D39"/>
    <w:rsid w:val="51304568"/>
    <w:rsid w:val="515C4DAB"/>
    <w:rsid w:val="51C24FFA"/>
    <w:rsid w:val="51CE42AD"/>
    <w:rsid w:val="51D97A9B"/>
    <w:rsid w:val="51EE6F29"/>
    <w:rsid w:val="525B4071"/>
    <w:rsid w:val="52663683"/>
    <w:rsid w:val="52763AF1"/>
    <w:rsid w:val="528D7627"/>
    <w:rsid w:val="529B15A0"/>
    <w:rsid w:val="52C521E9"/>
    <w:rsid w:val="52DB7857"/>
    <w:rsid w:val="52FB26C5"/>
    <w:rsid w:val="532F1F9A"/>
    <w:rsid w:val="533369DC"/>
    <w:rsid w:val="5347620B"/>
    <w:rsid w:val="53865A7D"/>
    <w:rsid w:val="539427FD"/>
    <w:rsid w:val="53DF4AE3"/>
    <w:rsid w:val="541E6514"/>
    <w:rsid w:val="543E22FC"/>
    <w:rsid w:val="544A136C"/>
    <w:rsid w:val="54576D55"/>
    <w:rsid w:val="54A239D6"/>
    <w:rsid w:val="54AE5193"/>
    <w:rsid w:val="54F93209"/>
    <w:rsid w:val="55581C35"/>
    <w:rsid w:val="55871D5A"/>
    <w:rsid w:val="56224F08"/>
    <w:rsid w:val="56780545"/>
    <w:rsid w:val="56D3624E"/>
    <w:rsid w:val="56FC79D8"/>
    <w:rsid w:val="5707734F"/>
    <w:rsid w:val="57391641"/>
    <w:rsid w:val="578743FD"/>
    <w:rsid w:val="57BD07D4"/>
    <w:rsid w:val="57C507D2"/>
    <w:rsid w:val="580E4718"/>
    <w:rsid w:val="58155950"/>
    <w:rsid w:val="58271A69"/>
    <w:rsid w:val="582732F8"/>
    <w:rsid w:val="582C6064"/>
    <w:rsid w:val="58403A57"/>
    <w:rsid w:val="58653BC4"/>
    <w:rsid w:val="58853313"/>
    <w:rsid w:val="58C668B3"/>
    <w:rsid w:val="58DA04F6"/>
    <w:rsid w:val="58DE4531"/>
    <w:rsid w:val="58EF257C"/>
    <w:rsid w:val="58F5165F"/>
    <w:rsid w:val="595B5564"/>
    <w:rsid w:val="599A6C1C"/>
    <w:rsid w:val="59D30435"/>
    <w:rsid w:val="5A0F5F30"/>
    <w:rsid w:val="5A1F3044"/>
    <w:rsid w:val="5A5655A9"/>
    <w:rsid w:val="5A754ADD"/>
    <w:rsid w:val="5A8C29EB"/>
    <w:rsid w:val="5AA6734D"/>
    <w:rsid w:val="5B2D7985"/>
    <w:rsid w:val="5BA91CA6"/>
    <w:rsid w:val="5BAE4412"/>
    <w:rsid w:val="5BEB75C4"/>
    <w:rsid w:val="5C0A41C8"/>
    <w:rsid w:val="5C2B5081"/>
    <w:rsid w:val="5C35366B"/>
    <w:rsid w:val="5C41304B"/>
    <w:rsid w:val="5C592323"/>
    <w:rsid w:val="5C6922E0"/>
    <w:rsid w:val="5C8229D4"/>
    <w:rsid w:val="5C9F4B13"/>
    <w:rsid w:val="5CC4093F"/>
    <w:rsid w:val="5CCA415E"/>
    <w:rsid w:val="5CD35E82"/>
    <w:rsid w:val="5D1E2B15"/>
    <w:rsid w:val="5D565881"/>
    <w:rsid w:val="5D874BCA"/>
    <w:rsid w:val="5D9674D4"/>
    <w:rsid w:val="5DBC0682"/>
    <w:rsid w:val="5DCD6381"/>
    <w:rsid w:val="5E1E681D"/>
    <w:rsid w:val="5E3D2C00"/>
    <w:rsid w:val="5E4148A6"/>
    <w:rsid w:val="5E4176DD"/>
    <w:rsid w:val="5E5426DC"/>
    <w:rsid w:val="5E995A3E"/>
    <w:rsid w:val="5E9D55A9"/>
    <w:rsid w:val="5E9E2568"/>
    <w:rsid w:val="5F194DE2"/>
    <w:rsid w:val="5F1E3F18"/>
    <w:rsid w:val="5FDA648A"/>
    <w:rsid w:val="60157EF2"/>
    <w:rsid w:val="60642E25"/>
    <w:rsid w:val="607D0230"/>
    <w:rsid w:val="610A221C"/>
    <w:rsid w:val="610B480A"/>
    <w:rsid w:val="61546D34"/>
    <w:rsid w:val="615702F6"/>
    <w:rsid w:val="615D6750"/>
    <w:rsid w:val="6169418A"/>
    <w:rsid w:val="61840C8F"/>
    <w:rsid w:val="61DF6FA3"/>
    <w:rsid w:val="61E36724"/>
    <w:rsid w:val="61EA4968"/>
    <w:rsid w:val="62015D11"/>
    <w:rsid w:val="621165CC"/>
    <w:rsid w:val="62163194"/>
    <w:rsid w:val="62300C4F"/>
    <w:rsid w:val="62352B7E"/>
    <w:rsid w:val="62400813"/>
    <w:rsid w:val="624D024D"/>
    <w:rsid w:val="6267015D"/>
    <w:rsid w:val="62887B29"/>
    <w:rsid w:val="628D74B6"/>
    <w:rsid w:val="63014C5E"/>
    <w:rsid w:val="633459E7"/>
    <w:rsid w:val="633878A6"/>
    <w:rsid w:val="634024FB"/>
    <w:rsid w:val="63782F5F"/>
    <w:rsid w:val="637C517E"/>
    <w:rsid w:val="63B01E7C"/>
    <w:rsid w:val="63CB37E9"/>
    <w:rsid w:val="63DC6171"/>
    <w:rsid w:val="640A5E68"/>
    <w:rsid w:val="64257522"/>
    <w:rsid w:val="643B1709"/>
    <w:rsid w:val="643F180C"/>
    <w:rsid w:val="64A356BA"/>
    <w:rsid w:val="64B90B25"/>
    <w:rsid w:val="650056A6"/>
    <w:rsid w:val="65062111"/>
    <w:rsid w:val="650E086A"/>
    <w:rsid w:val="65406E2A"/>
    <w:rsid w:val="65476FEF"/>
    <w:rsid w:val="655B4875"/>
    <w:rsid w:val="65800514"/>
    <w:rsid w:val="65961D10"/>
    <w:rsid w:val="65B775E5"/>
    <w:rsid w:val="65D03BBA"/>
    <w:rsid w:val="65DF3C46"/>
    <w:rsid w:val="65FB4A0C"/>
    <w:rsid w:val="66120730"/>
    <w:rsid w:val="661D6F21"/>
    <w:rsid w:val="663E33CB"/>
    <w:rsid w:val="66BC09DF"/>
    <w:rsid w:val="671954A8"/>
    <w:rsid w:val="67304613"/>
    <w:rsid w:val="675D4D28"/>
    <w:rsid w:val="67700C2A"/>
    <w:rsid w:val="678D53F4"/>
    <w:rsid w:val="679E53AC"/>
    <w:rsid w:val="67AD085E"/>
    <w:rsid w:val="67E67028"/>
    <w:rsid w:val="6853212A"/>
    <w:rsid w:val="68670031"/>
    <w:rsid w:val="68896280"/>
    <w:rsid w:val="68A80593"/>
    <w:rsid w:val="68B063E3"/>
    <w:rsid w:val="68C70C2F"/>
    <w:rsid w:val="68E106E4"/>
    <w:rsid w:val="68FA35BA"/>
    <w:rsid w:val="694018A4"/>
    <w:rsid w:val="696622DF"/>
    <w:rsid w:val="69684FDF"/>
    <w:rsid w:val="69790FC3"/>
    <w:rsid w:val="69E02C0A"/>
    <w:rsid w:val="69E420E5"/>
    <w:rsid w:val="6A0148B7"/>
    <w:rsid w:val="6A6F04EB"/>
    <w:rsid w:val="6A9804C1"/>
    <w:rsid w:val="6A9A1C2C"/>
    <w:rsid w:val="6A9A5C16"/>
    <w:rsid w:val="6AB12527"/>
    <w:rsid w:val="6AC51723"/>
    <w:rsid w:val="6ACE0F9F"/>
    <w:rsid w:val="6B1033BB"/>
    <w:rsid w:val="6B312279"/>
    <w:rsid w:val="6B470184"/>
    <w:rsid w:val="6B730A19"/>
    <w:rsid w:val="6B9D5F8C"/>
    <w:rsid w:val="6BAA0708"/>
    <w:rsid w:val="6BEE608F"/>
    <w:rsid w:val="6C2B6659"/>
    <w:rsid w:val="6C62304F"/>
    <w:rsid w:val="6C813878"/>
    <w:rsid w:val="6C8D7ECE"/>
    <w:rsid w:val="6C924026"/>
    <w:rsid w:val="6CBC442B"/>
    <w:rsid w:val="6CD42320"/>
    <w:rsid w:val="6CD90460"/>
    <w:rsid w:val="6CD90E0B"/>
    <w:rsid w:val="6CDE7E8B"/>
    <w:rsid w:val="6D032BD3"/>
    <w:rsid w:val="6D050DD4"/>
    <w:rsid w:val="6D6547F1"/>
    <w:rsid w:val="6D8A4B40"/>
    <w:rsid w:val="6D8E76BC"/>
    <w:rsid w:val="6DAD4BD1"/>
    <w:rsid w:val="6DC219A3"/>
    <w:rsid w:val="6E057977"/>
    <w:rsid w:val="6E4C5F3D"/>
    <w:rsid w:val="6E6139B9"/>
    <w:rsid w:val="6E8451E6"/>
    <w:rsid w:val="6E98694C"/>
    <w:rsid w:val="6EAF78C8"/>
    <w:rsid w:val="6F05753D"/>
    <w:rsid w:val="6F844134"/>
    <w:rsid w:val="6F8E232E"/>
    <w:rsid w:val="6F996F90"/>
    <w:rsid w:val="6FAB741A"/>
    <w:rsid w:val="6FAD011B"/>
    <w:rsid w:val="6FB95BC3"/>
    <w:rsid w:val="6FD61D35"/>
    <w:rsid w:val="6FE3656C"/>
    <w:rsid w:val="6FEE7606"/>
    <w:rsid w:val="700830F7"/>
    <w:rsid w:val="701E1638"/>
    <w:rsid w:val="70262255"/>
    <w:rsid w:val="70353963"/>
    <w:rsid w:val="70391AC3"/>
    <w:rsid w:val="70584791"/>
    <w:rsid w:val="705D1634"/>
    <w:rsid w:val="70F520A7"/>
    <w:rsid w:val="71707D67"/>
    <w:rsid w:val="71AD3BAC"/>
    <w:rsid w:val="71C876A8"/>
    <w:rsid w:val="71CC143A"/>
    <w:rsid w:val="71CF51E3"/>
    <w:rsid w:val="71E03199"/>
    <w:rsid w:val="71EE2210"/>
    <w:rsid w:val="71FA3AE8"/>
    <w:rsid w:val="723E3FB4"/>
    <w:rsid w:val="726779FD"/>
    <w:rsid w:val="72715D8B"/>
    <w:rsid w:val="72B130DE"/>
    <w:rsid w:val="72B64F0E"/>
    <w:rsid w:val="72D11BEC"/>
    <w:rsid w:val="72EC26DF"/>
    <w:rsid w:val="73551F0C"/>
    <w:rsid w:val="7359139F"/>
    <w:rsid w:val="7381101B"/>
    <w:rsid w:val="73900F62"/>
    <w:rsid w:val="73995CF9"/>
    <w:rsid w:val="73A5111E"/>
    <w:rsid w:val="73B7184F"/>
    <w:rsid w:val="73C648E5"/>
    <w:rsid w:val="73F36328"/>
    <w:rsid w:val="7408758B"/>
    <w:rsid w:val="74264A9A"/>
    <w:rsid w:val="742736AF"/>
    <w:rsid w:val="74495276"/>
    <w:rsid w:val="74563FDB"/>
    <w:rsid w:val="74567A36"/>
    <w:rsid w:val="745E4D88"/>
    <w:rsid w:val="7491387D"/>
    <w:rsid w:val="74A44B54"/>
    <w:rsid w:val="74F27E56"/>
    <w:rsid w:val="75004AA7"/>
    <w:rsid w:val="7511489B"/>
    <w:rsid w:val="754C3352"/>
    <w:rsid w:val="755E2CB2"/>
    <w:rsid w:val="75764130"/>
    <w:rsid w:val="75784442"/>
    <w:rsid w:val="75BA4E73"/>
    <w:rsid w:val="75C64DBA"/>
    <w:rsid w:val="75FF0D1D"/>
    <w:rsid w:val="76126F19"/>
    <w:rsid w:val="76594A56"/>
    <w:rsid w:val="76765029"/>
    <w:rsid w:val="767C2334"/>
    <w:rsid w:val="76B26F89"/>
    <w:rsid w:val="76E87828"/>
    <w:rsid w:val="77162A96"/>
    <w:rsid w:val="774344AD"/>
    <w:rsid w:val="77561368"/>
    <w:rsid w:val="77995B84"/>
    <w:rsid w:val="779A30CA"/>
    <w:rsid w:val="779D0A3B"/>
    <w:rsid w:val="77C82792"/>
    <w:rsid w:val="7822136C"/>
    <w:rsid w:val="783254C6"/>
    <w:rsid w:val="78421E44"/>
    <w:rsid w:val="79166967"/>
    <w:rsid w:val="79753CA3"/>
    <w:rsid w:val="79987839"/>
    <w:rsid w:val="79AC12D7"/>
    <w:rsid w:val="79B035DC"/>
    <w:rsid w:val="79EA4ACA"/>
    <w:rsid w:val="79EF075E"/>
    <w:rsid w:val="79FC1B95"/>
    <w:rsid w:val="7A0435DC"/>
    <w:rsid w:val="7A0A2CF1"/>
    <w:rsid w:val="7A234601"/>
    <w:rsid w:val="7A455189"/>
    <w:rsid w:val="7A6B60D2"/>
    <w:rsid w:val="7A6D068C"/>
    <w:rsid w:val="7A915386"/>
    <w:rsid w:val="7AB5747E"/>
    <w:rsid w:val="7ADA118F"/>
    <w:rsid w:val="7B0E22F2"/>
    <w:rsid w:val="7B377F91"/>
    <w:rsid w:val="7B5503D7"/>
    <w:rsid w:val="7B5A3AEA"/>
    <w:rsid w:val="7B7466FC"/>
    <w:rsid w:val="7B990F18"/>
    <w:rsid w:val="7BBD4FF4"/>
    <w:rsid w:val="7BF75286"/>
    <w:rsid w:val="7C585218"/>
    <w:rsid w:val="7C9B4CF4"/>
    <w:rsid w:val="7CA122C7"/>
    <w:rsid w:val="7CA548AE"/>
    <w:rsid w:val="7CAC6447"/>
    <w:rsid w:val="7CC32EED"/>
    <w:rsid w:val="7D005EA1"/>
    <w:rsid w:val="7D063A30"/>
    <w:rsid w:val="7D7011FE"/>
    <w:rsid w:val="7D8C0E0C"/>
    <w:rsid w:val="7D96552C"/>
    <w:rsid w:val="7DAA35B5"/>
    <w:rsid w:val="7DBD05C2"/>
    <w:rsid w:val="7DC872C4"/>
    <w:rsid w:val="7DCE2013"/>
    <w:rsid w:val="7DD32931"/>
    <w:rsid w:val="7DF62758"/>
    <w:rsid w:val="7E116A2A"/>
    <w:rsid w:val="7E1573FC"/>
    <w:rsid w:val="7E782C23"/>
    <w:rsid w:val="7E7D7062"/>
    <w:rsid w:val="7EC934C2"/>
    <w:rsid w:val="7EDE747E"/>
    <w:rsid w:val="7F404881"/>
    <w:rsid w:val="7F581701"/>
    <w:rsid w:val="7F5A775A"/>
    <w:rsid w:val="7F760252"/>
    <w:rsid w:val="7F8D6CF8"/>
    <w:rsid w:val="7FF1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5404</Words>
  <Characters>6906</Characters>
  <Lines>60</Lines>
  <Paragraphs>17</Paragraphs>
  <TotalTime>3</TotalTime>
  <ScaleCrop>false</ScaleCrop>
  <LinksUpToDate>false</LinksUpToDate>
  <CharactersWithSpaces>7422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2021-08-24T05:10:00Z</cp:lastPrinted>
  <dcterms:modified xsi:type="dcterms:W3CDTF">2022-09-10T11:13:08Z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64E0F3CFF39B4A93AB82656EB13A22D5</vt:lpwstr>
  </property>
</Properties>
</file>