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柳州高级中学</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宋体" w:hAnsi="宋体" w:cs="宋体"/>
          <w:b/>
          <w:bCs/>
          <w:color w:val="000000"/>
          <w:sz w:val="32"/>
          <w:szCs w:val="32"/>
        </w:rPr>
        <w:t>柳州高级中学</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宋体" w:hAnsi="宋体" w:cs="宋体"/>
          <w:b/>
          <w:bCs/>
          <w:color w:val="000000"/>
          <w:sz w:val="32"/>
          <w:szCs w:val="32"/>
        </w:rPr>
        <w:t>柳州高级中学</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w:t>
      </w:r>
      <w:bookmarkStart w:id="0" w:name="_GoBack"/>
      <w:bookmarkEnd w:id="0"/>
      <w:r>
        <w:rPr>
          <w:rFonts w:hint="eastAsia" w:ascii="仿宋_GB2312" w:eastAsia="仿宋_GB2312"/>
          <w:sz w:val="32"/>
          <w:szCs w:val="32"/>
        </w:rPr>
        <w:t>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柳州高级中学</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宋体" w:hAnsi="宋体" w:cs="宋体"/>
          <w:b/>
          <w:bCs/>
          <w:color w:val="000000"/>
          <w:sz w:val="32"/>
          <w:szCs w:val="32"/>
        </w:rPr>
        <w:t>柳州高级中学</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hAnsi="仿宋" w:eastAsia="仿宋_GB2312"/>
          <w:sz w:val="32"/>
          <w:szCs w:val="32"/>
        </w:rPr>
      </w:pPr>
      <w:r>
        <w:rPr>
          <w:rFonts w:hint="eastAsia" w:ascii="仿宋_GB2312" w:hAnsi="黑体" w:eastAsia="仿宋_GB2312"/>
          <w:sz w:val="32"/>
          <w:szCs w:val="32"/>
        </w:rPr>
        <w:t>主要职能</w:t>
      </w:r>
      <w:r>
        <w:rPr>
          <w:rFonts w:ascii="仿宋_GB2312" w:hAnsi="黑体" w:eastAsia="仿宋_GB2312"/>
          <w:sz w:val="32"/>
          <w:szCs w:val="32"/>
        </w:rPr>
        <w:t>：</w:t>
      </w:r>
      <w:r>
        <w:rPr>
          <w:rFonts w:hint="eastAsia" w:ascii="仿宋_GB2312" w:hAnsi="黑体" w:eastAsia="仿宋_GB2312"/>
          <w:sz w:val="32"/>
          <w:szCs w:val="32"/>
        </w:rPr>
        <w:t>实施高中学历教育，促进基础教育发展。</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ind w:firstLine="646"/>
        <w:rPr>
          <w:rFonts w:ascii="仿宋_GB2312" w:hAnsi="黑体" w:eastAsia="仿宋_GB2312"/>
          <w:sz w:val="32"/>
          <w:szCs w:val="32"/>
        </w:rPr>
      </w:pPr>
      <w:r>
        <w:rPr>
          <w:rFonts w:hint="eastAsia" w:ascii="仿宋_GB2312" w:hAnsi="黑体" w:eastAsia="仿宋_GB2312"/>
          <w:sz w:val="32"/>
          <w:szCs w:val="32"/>
        </w:rPr>
        <w:t>机构情况</w:t>
      </w:r>
      <w:r>
        <w:rPr>
          <w:rFonts w:ascii="仿宋_GB2312" w:hAnsi="黑体" w:eastAsia="仿宋_GB2312"/>
          <w:sz w:val="32"/>
          <w:szCs w:val="32"/>
        </w:rPr>
        <w:t>：1</w:t>
      </w:r>
      <w:r>
        <w:rPr>
          <w:rFonts w:hint="eastAsia" w:ascii="仿宋_GB2312" w:hAnsi="黑体" w:eastAsia="仿宋_GB2312"/>
          <w:sz w:val="32"/>
          <w:szCs w:val="32"/>
        </w:rPr>
        <w:t>个，当年无变动。</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 xml:space="preserve"> </w:t>
      </w:r>
      <w:r>
        <w:rPr>
          <w:rFonts w:hint="eastAsia" w:ascii="宋体" w:hAnsi="宋体" w:cs="宋体"/>
          <w:b/>
          <w:bCs/>
          <w:color w:val="000000"/>
          <w:sz w:val="32"/>
          <w:szCs w:val="32"/>
        </w:rPr>
        <w:t>柳州高级中学</w:t>
      </w:r>
      <w:r>
        <w:rPr>
          <w:rFonts w:hint="eastAsia" w:ascii="仿宋_GB2312" w:eastAsia="仿宋_GB2312"/>
          <w:b/>
          <w:sz w:val="32"/>
          <w:szCs w:val="32"/>
        </w:rPr>
        <w:t xml:space="preserve"> 2020年部门决算报表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center"/>
      </w:pPr>
    </w:p>
    <w:p/>
    <w:tbl>
      <w:tblPr>
        <w:tblStyle w:val="5"/>
        <w:tblW w:w="8720" w:type="dxa"/>
        <w:jc w:val="center"/>
        <w:tblLayout w:type="fixed"/>
        <w:tblCellMar>
          <w:top w:w="0" w:type="dxa"/>
          <w:left w:w="108" w:type="dxa"/>
          <w:bottom w:w="0" w:type="dxa"/>
          <w:right w:w="108" w:type="dxa"/>
        </w:tblCellMar>
      </w:tblPr>
      <w:tblGrid>
        <w:gridCol w:w="2604"/>
        <w:gridCol w:w="1376"/>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jc w:val="left"/>
              <w:rPr>
                <w:rFonts w:ascii="宋体" w:hAnsi="宋体" w:cs="宋体"/>
                <w:color w:val="000000"/>
                <w:sz w:val="22"/>
                <w:szCs w:val="22"/>
              </w:rPr>
            </w:pPr>
            <w:r>
              <w:rPr>
                <w:rFonts w:hint="eastAsia"/>
                <w:color w:val="000000"/>
                <w:sz w:val="22"/>
                <w:szCs w:val="22"/>
              </w:rPr>
              <w:t>13,659.97</w:t>
            </w:r>
          </w:p>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jc w:val="left"/>
              <w:rPr>
                <w:rFonts w:ascii="宋体" w:hAnsi="宋体" w:cs="宋体"/>
                <w:color w:val="000000"/>
                <w:sz w:val="22"/>
                <w:szCs w:val="22"/>
              </w:rPr>
            </w:pPr>
            <w:r>
              <w:rPr>
                <w:rFonts w:hint="eastAsia"/>
                <w:color w:val="000000"/>
                <w:sz w:val="22"/>
                <w:szCs w:val="22"/>
              </w:rPr>
              <w:t>13,363.64</w:t>
            </w:r>
          </w:p>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jc w:val="left"/>
              <w:rPr>
                <w:rFonts w:ascii="宋体" w:hAnsi="宋体" w:cs="宋体"/>
                <w:color w:val="000000"/>
                <w:sz w:val="22"/>
                <w:szCs w:val="22"/>
              </w:rPr>
            </w:pPr>
            <w:r>
              <w:rPr>
                <w:rFonts w:hint="eastAsia"/>
                <w:color w:val="000000"/>
                <w:sz w:val="22"/>
                <w:szCs w:val="22"/>
              </w:rPr>
              <w:t>305.81</w:t>
            </w:r>
          </w:p>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jc w:val="left"/>
              <w:rPr>
                <w:rFonts w:ascii="宋体" w:hAnsi="宋体" w:cs="宋体"/>
                <w:color w:val="000000"/>
                <w:sz w:val="22"/>
                <w:szCs w:val="22"/>
              </w:rPr>
            </w:pPr>
            <w:r>
              <w:rPr>
                <w:rFonts w:hint="eastAsia"/>
                <w:color w:val="000000"/>
                <w:sz w:val="22"/>
                <w:szCs w:val="22"/>
              </w:rPr>
              <w:t>91.20</w:t>
            </w:r>
          </w:p>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jc w:val="left"/>
              <w:rPr>
                <w:rFonts w:ascii="宋体" w:hAnsi="宋体" w:cs="宋体"/>
                <w:color w:val="000000"/>
                <w:sz w:val="22"/>
                <w:szCs w:val="22"/>
              </w:rPr>
            </w:pPr>
            <w:r>
              <w:rPr>
                <w:rFonts w:hint="eastAsia"/>
                <w:color w:val="000000"/>
                <w:sz w:val="22"/>
                <w:szCs w:val="22"/>
              </w:rPr>
              <w:t>606.98</w:t>
            </w:r>
          </w:p>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十、节能环保支出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十四、资源勘探工业信息等支出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十六、金融支出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jc w:val="left"/>
              <w:rPr>
                <w:rFonts w:hint="eastAsia" w:ascii="宋体" w:hAnsi="宋体" w:cs="宋体"/>
                <w:color w:val="000000"/>
                <w:sz w:val="22"/>
                <w:szCs w:val="22"/>
              </w:rPr>
            </w:pPr>
            <w:r>
              <w:rPr>
                <w:rFonts w:hint="eastAsia"/>
                <w:color w:val="000000"/>
                <w:sz w:val="22"/>
                <w:szCs w:val="22"/>
              </w:rPr>
              <w:t>12.04</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13,972.15</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p>
          <w:p>
            <w:pPr>
              <w:jc w:val="left"/>
              <w:rPr>
                <w:rFonts w:ascii="宋体" w:hAnsi="宋体" w:cs="宋体"/>
                <w:color w:val="000000"/>
                <w:sz w:val="22"/>
                <w:szCs w:val="22"/>
              </w:rPr>
            </w:pPr>
            <w:r>
              <w:rPr>
                <w:rFonts w:hint="eastAsia"/>
                <w:color w:val="000000"/>
                <w:sz w:val="22"/>
                <w:szCs w:val="22"/>
              </w:rPr>
              <w:t>14,073.87</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p>
            <w:pPr>
              <w:jc w:val="left"/>
              <w:rPr>
                <w:rFonts w:ascii="宋体" w:hAnsi="宋体" w:cs="宋体"/>
                <w:color w:val="000000"/>
                <w:sz w:val="22"/>
                <w:szCs w:val="22"/>
              </w:rPr>
            </w:pPr>
            <w:r>
              <w:rPr>
                <w:rFonts w:hint="eastAsia"/>
                <w:color w:val="000000"/>
                <w:sz w:val="22"/>
                <w:szCs w:val="22"/>
              </w:rPr>
              <w:t>138.66</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jc w:val="left"/>
              <w:rPr>
                <w:rFonts w:ascii="宋体" w:hAnsi="宋体" w:cs="宋体"/>
                <w:color w:val="000000"/>
                <w:sz w:val="22"/>
                <w:szCs w:val="22"/>
              </w:rPr>
            </w:pPr>
            <w:r>
              <w:rPr>
                <w:rFonts w:hint="eastAsia"/>
                <w:color w:val="000000"/>
                <w:sz w:val="22"/>
                <w:szCs w:val="22"/>
              </w:rPr>
              <w:t>1,013.34</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p>
            <w:pPr>
              <w:jc w:val="left"/>
              <w:rPr>
                <w:rFonts w:ascii="宋体" w:hAnsi="宋体" w:cs="宋体"/>
                <w:color w:val="000000"/>
                <w:sz w:val="22"/>
                <w:szCs w:val="22"/>
              </w:rPr>
            </w:pPr>
            <w:r>
              <w:rPr>
                <w:rFonts w:hint="eastAsia"/>
                <w:color w:val="000000"/>
                <w:sz w:val="22"/>
                <w:szCs w:val="22"/>
              </w:rPr>
              <w:t>772.96</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76" w:type="dxa"/>
            <w:tcBorders>
              <w:top w:val="nil"/>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14,985.49</w:t>
            </w:r>
          </w:p>
          <w:p>
            <w:pPr>
              <w:widowControl/>
              <w:jc w:val="center"/>
              <w:rPr>
                <w:rFonts w:ascii="宋体" w:hAnsi="宋体" w:cs="宋体"/>
                <w:b/>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p>
          <w:p>
            <w:pPr>
              <w:jc w:val="left"/>
              <w:rPr>
                <w:rFonts w:ascii="宋体" w:hAnsi="宋体" w:cs="宋体"/>
                <w:color w:val="000000"/>
                <w:sz w:val="22"/>
                <w:szCs w:val="22"/>
              </w:rPr>
            </w:pPr>
            <w:r>
              <w:rPr>
                <w:rFonts w:hint="eastAsia"/>
                <w:color w:val="000000"/>
                <w:sz w:val="22"/>
                <w:szCs w:val="22"/>
              </w:rPr>
              <w:t>14,985.49</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 单位：万元                     </w:t>
      </w:r>
    </w:p>
    <w:tbl>
      <w:tblPr>
        <w:tblStyle w:val="5"/>
        <w:tblW w:w="14812" w:type="dxa"/>
        <w:tblInd w:w="92" w:type="dxa"/>
        <w:tblLayout w:type="autofit"/>
        <w:tblCellMar>
          <w:top w:w="0" w:type="dxa"/>
          <w:left w:w="108" w:type="dxa"/>
          <w:bottom w:w="0" w:type="dxa"/>
          <w:right w:w="108" w:type="dxa"/>
        </w:tblCellMar>
      </w:tblPr>
      <w:tblGrid>
        <w:gridCol w:w="456"/>
        <w:gridCol w:w="456"/>
        <w:gridCol w:w="456"/>
        <w:gridCol w:w="2012"/>
        <w:gridCol w:w="1640"/>
        <w:gridCol w:w="1640"/>
        <w:gridCol w:w="1640"/>
        <w:gridCol w:w="1640"/>
        <w:gridCol w:w="1640"/>
        <w:gridCol w:w="1640"/>
        <w:gridCol w:w="1640"/>
      </w:tblGrid>
      <w:tr>
        <w:tblPrEx>
          <w:tblCellMar>
            <w:top w:w="0" w:type="dxa"/>
            <w:left w:w="108" w:type="dxa"/>
            <w:bottom w:w="0" w:type="dxa"/>
            <w:right w:w="108" w:type="dxa"/>
          </w:tblCellMar>
        </w:tblPrEx>
        <w:trPr>
          <w:trHeight w:val="319" w:hRule="atLeast"/>
        </w:trPr>
        <w:tc>
          <w:tcPr>
            <w:tcW w:w="880" w:type="dxa"/>
            <w:gridSpan w:val="2"/>
            <w:tcBorders>
              <w:top w:val="nil"/>
              <w:left w:val="nil"/>
              <w:bottom w:val="nil"/>
              <w:right w:val="nil"/>
            </w:tcBorders>
            <w:shd w:val="clear" w:color="000000" w:fill="FFFFFF"/>
            <w:noWrap/>
            <w:vAlign w:val="bottom"/>
          </w:tcPr>
          <w:p>
            <w:pPr>
              <w:widowControl/>
              <w:jc w:val="left"/>
              <w:rPr>
                <w:rFonts w:ascii="宋体" w:hAnsi="宋体" w:cs="宋体"/>
                <w:kern w:val="0"/>
                <w:sz w:val="24"/>
              </w:rPr>
            </w:pPr>
          </w:p>
        </w:tc>
        <w:tc>
          <w:tcPr>
            <w:tcW w:w="44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012"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64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64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64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64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64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64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640"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4"/>
              </w:rPr>
            </w:pPr>
          </w:p>
        </w:tc>
      </w:tr>
      <w:tr>
        <w:tblPrEx>
          <w:tblCellMar>
            <w:top w:w="0" w:type="dxa"/>
            <w:left w:w="108" w:type="dxa"/>
            <w:bottom w:w="0" w:type="dxa"/>
            <w:right w:w="108" w:type="dxa"/>
          </w:tblCellMar>
        </w:tblPrEx>
        <w:trPr>
          <w:trHeight w:val="810" w:hRule="atLeast"/>
        </w:trPr>
        <w:tc>
          <w:tcPr>
            <w:tcW w:w="13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科目编码</w:t>
            </w:r>
          </w:p>
        </w:tc>
        <w:tc>
          <w:tcPr>
            <w:tcW w:w="201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6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16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16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16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附属单位</w:t>
            </w:r>
            <w:r>
              <w:rPr>
                <w:rFonts w:hint="eastAsia" w:ascii="宋体" w:hAnsi="宋体" w:cs="宋体"/>
                <w:kern w:val="0"/>
                <w:sz w:val="24"/>
              </w:rPr>
              <w:br w:type="textWrapping"/>
            </w:r>
            <w:r>
              <w:rPr>
                <w:rFonts w:hint="eastAsia" w:ascii="宋体" w:hAnsi="宋体" w:cs="宋体"/>
                <w:kern w:val="0"/>
                <w:sz w:val="24"/>
              </w:rPr>
              <w:t>上缴收入</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CellMar>
            <w:top w:w="0" w:type="dxa"/>
            <w:left w:w="108" w:type="dxa"/>
            <w:bottom w:w="0" w:type="dxa"/>
            <w:right w:w="108" w:type="dxa"/>
          </w:tblCellMar>
        </w:tblPrEx>
        <w:trPr>
          <w:trHeight w:val="480" w:hRule="atLeast"/>
        </w:trPr>
        <w:tc>
          <w:tcPr>
            <w:tcW w:w="44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类</w:t>
            </w:r>
          </w:p>
        </w:tc>
        <w:tc>
          <w:tcPr>
            <w:tcW w:w="44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款</w:t>
            </w:r>
          </w:p>
        </w:tc>
        <w:tc>
          <w:tcPr>
            <w:tcW w:w="44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项</w:t>
            </w:r>
          </w:p>
        </w:tc>
        <w:tc>
          <w:tcPr>
            <w:tcW w:w="201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栏次</w:t>
            </w:r>
          </w:p>
        </w:tc>
        <w:tc>
          <w:tcPr>
            <w:tcW w:w="1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1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80"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1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13,972.15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13,659.97</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305.81</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6.36</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教育支出</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13,389.45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13,077.28</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305.81</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6.36</w:t>
            </w:r>
          </w:p>
        </w:tc>
      </w:tr>
      <w:tr>
        <w:tblPrEx>
          <w:tblCellMar>
            <w:top w:w="0" w:type="dxa"/>
            <w:left w:w="108" w:type="dxa"/>
            <w:bottom w:w="0" w:type="dxa"/>
            <w:right w:w="108" w:type="dxa"/>
          </w:tblCellMar>
        </w:tblPrEx>
        <w:trPr>
          <w:trHeight w:val="48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普通教育</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13,389.45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13,077.28</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305.81</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6.36</w:t>
            </w:r>
          </w:p>
        </w:tc>
      </w:tr>
      <w:tr>
        <w:tblPrEx>
          <w:tblCellMar>
            <w:top w:w="0" w:type="dxa"/>
            <w:left w:w="108" w:type="dxa"/>
            <w:bottom w:w="0" w:type="dxa"/>
            <w:right w:w="108" w:type="dxa"/>
          </w:tblCellMar>
        </w:tblPrEx>
        <w:trPr>
          <w:trHeight w:val="48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2050204</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高中教育</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13,023.45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12,711.28</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305.81</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6.36</w:t>
            </w:r>
          </w:p>
        </w:tc>
      </w:tr>
      <w:tr>
        <w:tblPrEx>
          <w:tblCellMar>
            <w:top w:w="0" w:type="dxa"/>
            <w:left w:w="108" w:type="dxa"/>
            <w:bottom w:w="0" w:type="dxa"/>
            <w:right w:w="108" w:type="dxa"/>
          </w:tblCellMar>
        </w:tblPrEx>
        <w:trPr>
          <w:trHeight w:val="48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2050299</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其他普通教育支出</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366.00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366.00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570.65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570.65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570.65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570.65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2101102</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事业单位医疗</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570.65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570.65</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2210203</w:t>
            </w:r>
          </w:p>
        </w:tc>
        <w:tc>
          <w:tcPr>
            <w:tcW w:w="20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购房补贴</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bl>
    <w:p/>
    <w:p>
      <w:r>
        <w:rPr>
          <w:rFonts w:hint="eastAsia"/>
        </w:rPr>
        <w:t>注：本表反映部门本年度取得的各项收入情况。</w:t>
      </w: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5153" w:type="dxa"/>
        <w:tblInd w:w="92" w:type="dxa"/>
        <w:tblLayout w:type="autofit"/>
        <w:tblCellMar>
          <w:top w:w="0" w:type="dxa"/>
          <w:left w:w="108" w:type="dxa"/>
          <w:bottom w:w="0" w:type="dxa"/>
          <w:right w:w="108" w:type="dxa"/>
        </w:tblCellMar>
      </w:tblPr>
      <w:tblGrid>
        <w:gridCol w:w="456"/>
        <w:gridCol w:w="456"/>
        <w:gridCol w:w="456"/>
        <w:gridCol w:w="2814"/>
        <w:gridCol w:w="1754"/>
        <w:gridCol w:w="1753"/>
        <w:gridCol w:w="2498"/>
        <w:gridCol w:w="1661"/>
        <w:gridCol w:w="1661"/>
        <w:gridCol w:w="1661"/>
      </w:tblGrid>
      <w:tr>
        <w:tblPrEx>
          <w:tblCellMar>
            <w:top w:w="0" w:type="dxa"/>
            <w:left w:w="108" w:type="dxa"/>
            <w:bottom w:w="0" w:type="dxa"/>
            <w:right w:w="108" w:type="dxa"/>
          </w:tblCellMar>
        </w:tblPrEx>
        <w:trPr>
          <w:trHeight w:val="799" w:hRule="atLeast"/>
        </w:trPr>
        <w:tc>
          <w:tcPr>
            <w:tcW w:w="135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科目编码</w:t>
            </w:r>
          </w:p>
        </w:tc>
        <w:tc>
          <w:tcPr>
            <w:tcW w:w="28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75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16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6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CellMar>
            <w:top w:w="0" w:type="dxa"/>
            <w:left w:w="108" w:type="dxa"/>
            <w:bottom w:w="0" w:type="dxa"/>
            <w:right w:w="108" w:type="dxa"/>
          </w:tblCellMar>
        </w:tblPrEx>
        <w:trPr>
          <w:trHeight w:val="480" w:hRule="atLeast"/>
        </w:trPr>
        <w:tc>
          <w:tcPr>
            <w:tcW w:w="4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类</w:t>
            </w:r>
          </w:p>
        </w:tc>
        <w:tc>
          <w:tcPr>
            <w:tcW w:w="4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款</w:t>
            </w:r>
          </w:p>
        </w:tc>
        <w:tc>
          <w:tcPr>
            <w:tcW w:w="4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项</w:t>
            </w:r>
          </w:p>
        </w:tc>
        <w:tc>
          <w:tcPr>
            <w:tcW w:w="28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栏次</w:t>
            </w:r>
          </w:p>
        </w:tc>
        <w:tc>
          <w:tcPr>
            <w:tcW w:w="175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7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49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6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6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6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8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8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14,073.87</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13,515.29</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558.57</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13,363.64</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12,805.07</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558.57</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普通教育</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13,363.64</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12,805.07</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558.57</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2050204</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高中教育</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12,995.84</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12,804.87</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190.97</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2050299</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其他普通教育支出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367.80</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0.20</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367.60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2080502</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事业单位离退休</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6.21</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6.21</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84.99</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84.99</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2101102</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事业单位医疗</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606.55</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606.55</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2101199</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其他行政事业单位医疗支出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0.43</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0.43</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w:t>
            </w:r>
          </w:p>
        </w:tc>
        <w:tc>
          <w:tcPr>
            <w:tcW w:w="2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7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7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24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480" w:hRule="atLeast"/>
        </w:trPr>
        <w:tc>
          <w:tcPr>
            <w:tcW w:w="135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2210203</w:t>
            </w:r>
          </w:p>
        </w:tc>
        <w:tc>
          <w:tcPr>
            <w:tcW w:w="2814"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购房补贴</w:t>
            </w:r>
          </w:p>
        </w:tc>
        <w:tc>
          <w:tcPr>
            <w:tcW w:w="175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75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2498"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61"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bl>
    <w:p/>
    <w:p>
      <w:r>
        <w:rPr>
          <w:rFonts w:hint="eastAsia"/>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right"/>
        <w:rPr>
          <w:sz w:val="22"/>
          <w:szCs w:val="22"/>
        </w:rPr>
      </w:pPr>
      <w:r>
        <w:rPr>
          <w:rFonts w:hint="eastAsia" w:ascii="方正小标宋简体" w:hAnsi="宋体" w:eastAsia="方正小标宋简体" w:cs="宋体"/>
          <w:kern w:val="0"/>
          <w:sz w:val="36"/>
          <w:szCs w:val="36"/>
        </w:rPr>
        <w:t xml:space="preserve">表四：财政拨款收入支出决算总表                            </w:t>
      </w:r>
      <w:r>
        <w:rPr>
          <w:rFonts w:hint="eastAsia"/>
          <w:sz w:val="22"/>
          <w:szCs w:val="22"/>
        </w:rPr>
        <w:t>单位：万元</w:t>
      </w:r>
    </w:p>
    <w:tbl>
      <w:tblPr>
        <w:tblStyle w:val="5"/>
        <w:tblW w:w="15093" w:type="dxa"/>
        <w:tblInd w:w="92" w:type="dxa"/>
        <w:tblLayout w:type="autofit"/>
        <w:tblCellMar>
          <w:top w:w="0" w:type="dxa"/>
          <w:left w:w="108" w:type="dxa"/>
          <w:bottom w:w="0" w:type="dxa"/>
          <w:right w:w="108" w:type="dxa"/>
        </w:tblCellMar>
      </w:tblPr>
      <w:tblGrid>
        <w:gridCol w:w="3625"/>
        <w:gridCol w:w="538"/>
        <w:gridCol w:w="1273"/>
        <w:gridCol w:w="3781"/>
        <w:gridCol w:w="525"/>
        <w:gridCol w:w="1241"/>
        <w:gridCol w:w="1629"/>
        <w:gridCol w:w="1173"/>
        <w:gridCol w:w="1308"/>
      </w:tblGrid>
      <w:tr>
        <w:tblPrEx>
          <w:tblCellMar>
            <w:top w:w="0" w:type="dxa"/>
            <w:left w:w="108" w:type="dxa"/>
            <w:bottom w:w="0" w:type="dxa"/>
            <w:right w:w="108" w:type="dxa"/>
          </w:tblCellMar>
        </w:tblPrEx>
        <w:trPr>
          <w:trHeight w:val="366" w:hRule="atLeast"/>
        </w:trPr>
        <w:tc>
          <w:tcPr>
            <w:tcW w:w="54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收  入</w:t>
            </w:r>
          </w:p>
        </w:tc>
        <w:tc>
          <w:tcPr>
            <w:tcW w:w="965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支  出</w:t>
            </w:r>
          </w:p>
        </w:tc>
      </w:tr>
      <w:tr>
        <w:tblPrEx>
          <w:tblCellMar>
            <w:top w:w="0" w:type="dxa"/>
            <w:left w:w="108" w:type="dxa"/>
            <w:bottom w:w="0" w:type="dxa"/>
            <w:right w:w="108" w:type="dxa"/>
          </w:tblCellMar>
        </w:tblPrEx>
        <w:trPr>
          <w:trHeight w:val="641"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    目</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金额</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    目</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国有资本经营预算财政拨款</w:t>
            </w:r>
          </w:p>
        </w:tc>
      </w:tr>
      <w:tr>
        <w:tblPrEx>
          <w:tblCellMar>
            <w:top w:w="0" w:type="dxa"/>
            <w:left w:w="108" w:type="dxa"/>
            <w:bottom w:w="0" w:type="dxa"/>
            <w:right w:w="108" w:type="dxa"/>
          </w:tblCellMar>
        </w:tblPrEx>
        <w:trPr>
          <w:trHeight w:val="294"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栏    次</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栏    次</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13,659.97</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三、国有资本经营财政拨款</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13,190.13</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13,190.13</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十四、资源勘探工业信息等支出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378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13,659.97</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13,900.35</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13,900.35</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年初结转和结余</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1,013.34</w:t>
            </w:r>
          </w:p>
        </w:tc>
        <w:tc>
          <w:tcPr>
            <w:tcW w:w="37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年末结转和结余</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2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772.96</w:t>
            </w:r>
          </w:p>
        </w:tc>
        <w:tc>
          <w:tcPr>
            <w:tcW w:w="1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772.96</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1,013.34</w:t>
            </w:r>
          </w:p>
        </w:tc>
        <w:tc>
          <w:tcPr>
            <w:tcW w:w="37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37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国有资本经营预算财政拨款</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37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6" w:hRule="atLeast"/>
        </w:trPr>
        <w:tc>
          <w:tcPr>
            <w:tcW w:w="36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27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14,673.31</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241"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14,673.31</w:t>
            </w:r>
          </w:p>
        </w:tc>
        <w:tc>
          <w:tcPr>
            <w:tcW w:w="1629"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14,673.31</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bl>
    <w:p>
      <w:r>
        <w:rPr>
          <w:rFonts w:hint="eastAsia"/>
        </w:rPr>
        <w:t>注：本表反映部门本年度一般公共预算财政拨款和政府性基金预算财政拨款的总收支和年末结转结余情况。</w:t>
      </w:r>
    </w:p>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7560" w:type="dxa"/>
        <w:tblInd w:w="92" w:type="dxa"/>
        <w:tblLayout w:type="autofit"/>
        <w:tblCellMar>
          <w:top w:w="0" w:type="dxa"/>
          <w:left w:w="108" w:type="dxa"/>
          <w:bottom w:w="0" w:type="dxa"/>
          <w:right w:w="108" w:type="dxa"/>
        </w:tblCellMar>
      </w:tblPr>
      <w:tblGrid>
        <w:gridCol w:w="456"/>
        <w:gridCol w:w="456"/>
        <w:gridCol w:w="456"/>
        <w:gridCol w:w="3772"/>
        <w:gridCol w:w="1206"/>
        <w:gridCol w:w="1206"/>
        <w:gridCol w:w="876"/>
      </w:tblGrid>
      <w:tr>
        <w:tblPrEx>
          <w:tblCellMar>
            <w:top w:w="0" w:type="dxa"/>
            <w:left w:w="108" w:type="dxa"/>
            <w:bottom w:w="0" w:type="dxa"/>
            <w:right w:w="108" w:type="dxa"/>
          </w:tblCellMar>
        </w:tblPrEx>
        <w:trPr>
          <w:trHeight w:val="312" w:hRule="atLeast"/>
        </w:trPr>
        <w:tc>
          <w:tcPr>
            <w:tcW w:w="101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支出功能分类科目编码</w:t>
            </w:r>
          </w:p>
        </w:tc>
        <w:tc>
          <w:tcPr>
            <w:tcW w:w="3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027"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合计</w:t>
            </w:r>
          </w:p>
        </w:tc>
        <w:tc>
          <w:tcPr>
            <w:tcW w:w="1027" w:type="dxa"/>
            <w:vMerge w:val="restart"/>
            <w:tcBorders>
              <w:top w:val="single" w:color="auto" w:sz="4" w:space="0"/>
              <w:left w:val="nil"/>
              <w:bottom w:val="single" w:color="000000"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w:t>
            </w:r>
            <w:r>
              <w:rPr>
                <w:rFonts w:hint="eastAsia" w:ascii="宋体" w:hAnsi="宋体" w:cs="宋体"/>
                <w:kern w:val="0"/>
                <w:sz w:val="24"/>
              </w:rPr>
              <w:br w:type="textWrapping"/>
            </w:r>
            <w:r>
              <w:rPr>
                <w:rFonts w:hint="eastAsia" w:ascii="宋体" w:hAnsi="宋体" w:cs="宋体"/>
                <w:kern w:val="0"/>
                <w:sz w:val="24"/>
              </w:rPr>
              <w:t>支出</w:t>
            </w:r>
          </w:p>
        </w:tc>
        <w:tc>
          <w:tcPr>
            <w:tcW w:w="723" w:type="dxa"/>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w:t>
            </w:r>
            <w:r>
              <w:rPr>
                <w:rFonts w:hint="eastAsia" w:ascii="宋体" w:hAnsi="宋体" w:cs="宋体"/>
                <w:kern w:val="0"/>
                <w:sz w:val="24"/>
              </w:rPr>
              <w:br w:type="textWrapping"/>
            </w:r>
            <w:r>
              <w:rPr>
                <w:rFonts w:hint="eastAsia" w:ascii="宋体" w:hAnsi="宋体" w:cs="宋体"/>
                <w:kern w:val="0"/>
                <w:sz w:val="24"/>
              </w:rPr>
              <w:t>支出</w:t>
            </w:r>
          </w:p>
        </w:tc>
      </w:tr>
      <w:tr>
        <w:tblPrEx>
          <w:tblCellMar>
            <w:top w:w="0" w:type="dxa"/>
            <w:left w:w="108" w:type="dxa"/>
            <w:bottom w:w="0" w:type="dxa"/>
            <w:right w:w="108" w:type="dxa"/>
          </w:tblCellMar>
        </w:tblPrEx>
        <w:trPr>
          <w:trHeight w:val="312" w:hRule="atLeast"/>
        </w:trPr>
        <w:tc>
          <w:tcPr>
            <w:tcW w:w="101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27"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27" w:type="dxa"/>
            <w:vMerge w:val="continue"/>
            <w:tcBorders>
              <w:top w:val="single" w:color="auto" w:sz="4" w:space="0"/>
              <w:left w:val="nil"/>
              <w:bottom w:val="single" w:color="000000" w:sz="4" w:space="0"/>
              <w:right w:val="nil"/>
            </w:tcBorders>
            <w:vAlign w:val="center"/>
          </w:tcPr>
          <w:p>
            <w:pPr>
              <w:widowControl/>
              <w:jc w:val="left"/>
              <w:rPr>
                <w:rFonts w:ascii="宋体" w:hAnsi="宋体" w:cs="宋体"/>
                <w:kern w:val="0"/>
                <w:sz w:val="24"/>
              </w:rPr>
            </w:pPr>
          </w:p>
        </w:tc>
        <w:tc>
          <w:tcPr>
            <w:tcW w:w="723"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101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27"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27" w:type="dxa"/>
            <w:vMerge w:val="continue"/>
            <w:tcBorders>
              <w:top w:val="single" w:color="auto" w:sz="4" w:space="0"/>
              <w:left w:val="nil"/>
              <w:bottom w:val="single" w:color="000000" w:sz="4" w:space="0"/>
              <w:right w:val="nil"/>
            </w:tcBorders>
            <w:vAlign w:val="center"/>
          </w:tcPr>
          <w:p>
            <w:pPr>
              <w:widowControl/>
              <w:jc w:val="left"/>
              <w:rPr>
                <w:rFonts w:ascii="宋体" w:hAnsi="宋体" w:cs="宋体"/>
                <w:kern w:val="0"/>
                <w:sz w:val="24"/>
              </w:rPr>
            </w:pPr>
          </w:p>
        </w:tc>
        <w:tc>
          <w:tcPr>
            <w:tcW w:w="723"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类</w:t>
            </w:r>
          </w:p>
        </w:tc>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款</w:t>
            </w:r>
          </w:p>
        </w:tc>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w:t>
            </w:r>
          </w:p>
        </w:tc>
        <w:tc>
          <w:tcPr>
            <w:tcW w:w="3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栏次</w:t>
            </w:r>
          </w:p>
        </w:tc>
        <w:tc>
          <w:tcPr>
            <w:tcW w:w="1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285"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合计</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13,900.35</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13,341.78</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558.57</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13,190.13</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12,631.55</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558.57</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普通教育</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13,190.13</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12,631.55</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558.57</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2050204</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高中教育</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12,822.33</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12,631.35</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190.97</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2050299</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其他普通教育支出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367.80</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0.20</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367.60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91.20</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2080502</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事业单位离退休</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6.21</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6.21</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84.99</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84.99</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606.98</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2101102</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事业单位医疗</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606.55</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606.55</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2101199</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其他行政事业单位医疗支出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0.43</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0.43</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0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7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0" w:hRule="atLeast"/>
        </w:trPr>
        <w:tc>
          <w:tcPr>
            <w:tcW w:w="1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2210203</w:t>
            </w:r>
          </w:p>
        </w:tc>
        <w:tc>
          <w:tcPr>
            <w:tcW w:w="3772"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购房补贴</w:t>
            </w:r>
          </w:p>
        </w:tc>
        <w:tc>
          <w:tcPr>
            <w:tcW w:w="1027"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1027"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12.04</w:t>
            </w:r>
          </w:p>
        </w:tc>
        <w:tc>
          <w:tcPr>
            <w:tcW w:w="72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bl>
    <w:p/>
    <w:p>
      <w:r>
        <w:rPr>
          <w:rFonts w:hint="eastAsia"/>
        </w:rPr>
        <w:t>注：本表反映部门本年度一般公共预算财政拨款实际支出情况。</w:t>
      </w:r>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5382" w:type="pct"/>
        <w:tblInd w:w="0" w:type="dxa"/>
        <w:tblLayout w:type="fixed"/>
        <w:tblCellMar>
          <w:top w:w="0" w:type="dxa"/>
          <w:left w:w="108" w:type="dxa"/>
          <w:bottom w:w="0" w:type="dxa"/>
          <w:right w:w="108" w:type="dxa"/>
        </w:tblCellMar>
      </w:tblPr>
      <w:tblGrid>
        <w:gridCol w:w="818"/>
        <w:gridCol w:w="2323"/>
        <w:gridCol w:w="1081"/>
        <w:gridCol w:w="1133"/>
        <w:gridCol w:w="2690"/>
        <w:gridCol w:w="1135"/>
      </w:tblGrid>
      <w:tr>
        <w:tblPrEx>
          <w:tblCellMar>
            <w:top w:w="0" w:type="dxa"/>
            <w:left w:w="108" w:type="dxa"/>
            <w:bottom w:w="0" w:type="dxa"/>
            <w:right w:w="108" w:type="dxa"/>
          </w:tblCellMar>
        </w:tblPrEx>
        <w:trPr>
          <w:trHeight w:val="172" w:hRule="atLeast"/>
        </w:trPr>
        <w:tc>
          <w:tcPr>
            <w:tcW w:w="23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270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tblPrEx>
          <w:tblCellMar>
            <w:top w:w="0" w:type="dxa"/>
            <w:left w:w="108" w:type="dxa"/>
            <w:bottom w:w="0" w:type="dxa"/>
            <w:right w:w="108" w:type="dxa"/>
          </w:tblCellMar>
        </w:tblPrEx>
        <w:trPr>
          <w:trHeight w:val="687" w:hRule="atLeast"/>
        </w:trPr>
        <w:tc>
          <w:tcPr>
            <w:tcW w:w="4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支出经济分类科目编码</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c>
          <w:tcPr>
            <w:tcW w:w="6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4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支出经济分类科目编码</w:t>
            </w:r>
          </w:p>
        </w:tc>
        <w:tc>
          <w:tcPr>
            <w:tcW w:w="6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11840.44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1371.10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30101</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基本工资</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2522.31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办公费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31.83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30102</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津贴补贴</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145.86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印刷费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34.10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30103</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奖金</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2210.75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30203</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咨询费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30106</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伙食补助费</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200.86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30204</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手续费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30107</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绩效工资</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3373.06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30205</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水费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93.74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30108</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机关事业单位基本养老保险缴费</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993.88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30206</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电费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150.69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30109</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职业年金缴费</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488.98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邮电费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31.05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30110</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职工基本医疗保险缴费</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492.70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30208</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取暖费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30111</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公务员医疗补助缴费</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377.88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物业管理费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565.60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30112</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其他社会保障缴费</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44.25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差旅费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19.41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30113</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住房公积金</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756.80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因公出国（境）费用</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30114</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医疗费</w:t>
            </w:r>
          </w:p>
        </w:tc>
        <w:tc>
          <w:tcPr>
            <w:tcW w:w="589"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30213</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维修（护）费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184.98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30199</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其他工资福利支出</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233.11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30214</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租赁费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130.24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30215</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会议费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30301</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离休费</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10.37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30216</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培训费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30302</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退休费</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31.50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公务接待费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30303</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退职（役）费</w:t>
            </w:r>
          </w:p>
        </w:tc>
        <w:tc>
          <w:tcPr>
            <w:tcW w:w="589"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30218</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专用材料费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26.11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30304</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抚恤金</w:t>
            </w:r>
          </w:p>
        </w:tc>
        <w:tc>
          <w:tcPr>
            <w:tcW w:w="589"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30224</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被装购置费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30305</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生活补助</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56.81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30225</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专用燃料费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30306</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救济费</w:t>
            </w:r>
          </w:p>
        </w:tc>
        <w:tc>
          <w:tcPr>
            <w:tcW w:w="589"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30226</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劳务费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5.24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30307</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医疗费补助</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9.60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委托业务费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30308</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助学金</w:t>
            </w:r>
          </w:p>
        </w:tc>
        <w:tc>
          <w:tcPr>
            <w:tcW w:w="589"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21.95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30228</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工会经费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108.78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30309</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奖励金</w:t>
            </w:r>
          </w:p>
        </w:tc>
        <w:tc>
          <w:tcPr>
            <w:tcW w:w="589"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福利费</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30310</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个人农业生产补贴</w:t>
            </w:r>
          </w:p>
        </w:tc>
        <w:tc>
          <w:tcPr>
            <w:tcW w:w="589"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30231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1.64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30311</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代缴社会保险费</w:t>
            </w:r>
          </w:p>
        </w:tc>
        <w:tc>
          <w:tcPr>
            <w:tcW w:w="589"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30239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其他交通费用</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1.62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30399</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其他对个人和家庭的补助</w:t>
            </w:r>
          </w:p>
        </w:tc>
        <w:tc>
          <w:tcPr>
            <w:tcW w:w="589"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30240</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税金及附加费用</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30299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其他商品和服务支出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116.31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债务利息及费用支出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30701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国内债务付息</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30702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国外债务付息</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资本性支出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房屋建筑物购建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办公设备购置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31003</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专用设备购置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31005</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基础设施建设</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31006</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大型修缮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信息网络及软件购置更新</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31008</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物资储备</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土地补偿</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31010</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安置补助</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地上附着物和青苗补偿</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拆迁补偿</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31013</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其他交通工具购置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31021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文物和陈列品购置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31022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无形资产购置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31099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其他资本性支出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39906</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赠与</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国家赔偿费用支出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39908</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对民间非营利组织和群众性自治组织补贴</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39999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债务利息及费用支出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30701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国内债务付息</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30702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国外债务付息</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资本性支出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房屋建筑物购建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办公设备购置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31003</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专用设备购置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31005</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基础设施建设</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31006</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大型修缮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信息网络及软件购置更新</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31008</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物资储备</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土地补偿</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31010</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安置补助</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地上附着物和青苗补偿</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拆迁补偿</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31013</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其他交通工具购置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31021</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文物和陈列品购置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31022</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无形资产购置</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31099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其他资本性支出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39906</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赠与</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39907</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国家赔偿费用支出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39908</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对民间非营利组织和群众性自治组织补贴</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39999</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其他支出</w:t>
            </w:r>
          </w:p>
        </w:tc>
        <w:tc>
          <w:tcPr>
            <w:tcW w:w="618"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61" w:hRule="atLeast"/>
        </w:trPr>
        <w:tc>
          <w:tcPr>
            <w:tcW w:w="17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人员经费合计</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23941.35 </w:t>
            </w:r>
          </w:p>
        </w:tc>
        <w:tc>
          <w:tcPr>
            <w:tcW w:w="208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公用经费合计</w:t>
            </w:r>
          </w:p>
        </w:tc>
        <w:tc>
          <w:tcPr>
            <w:tcW w:w="61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2742.20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p>
    <w:tbl>
      <w:tblPr>
        <w:tblStyle w:val="5"/>
        <w:tblW w:w="14640" w:type="dxa"/>
        <w:tblInd w:w="92" w:type="dxa"/>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00" w:hRule="atLeast"/>
        </w:trPr>
        <w:tc>
          <w:tcPr>
            <w:tcW w:w="1220"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559" w:hRule="atLeast"/>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2020年度预算数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2020年度决算数</w:t>
            </w:r>
          </w:p>
        </w:tc>
      </w:tr>
      <w:tr>
        <w:tblPrEx>
          <w:tblCellMar>
            <w:top w:w="0" w:type="dxa"/>
            <w:left w:w="108" w:type="dxa"/>
            <w:bottom w:w="0" w:type="dxa"/>
            <w:right w:w="108" w:type="dxa"/>
          </w:tblCellMar>
        </w:tblPrEx>
        <w:trPr>
          <w:trHeight w:val="600" w:hRule="atLeast"/>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600" w:hRule="atLeast"/>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59" w:hRule="atLeast"/>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trHeight w:val="855" w:hRule="atLeast"/>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9.35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5.00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4.00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4.00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0.35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1.64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1.64</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c>
          <w:tcPr>
            <w:tcW w:w="1220" w:type="dxa"/>
            <w:tcBorders>
              <w:top w:val="nil"/>
              <w:left w:val="nil"/>
              <w:bottom w:val="single" w:color="auto" w:sz="8" w:space="0"/>
              <w:right w:val="nil"/>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1.64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柳州高级中学没有政府性基金预算财政拨款收入，也没有政府性基金预算财政拨款安排的支出，故本表无数据。</w:t>
      </w: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9"/>
                <w:rFonts w:hint="default"/>
              </w:rPr>
              <w:t xml:space="preserve">   </w:t>
            </w:r>
            <w:r>
              <w:rPr>
                <w:rStyle w:val="10"/>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注：本表反映部门本年度国有资本经营预算财政拨款支出情况。</w:t>
            </w:r>
          </w:p>
          <w:p>
            <w:pPr>
              <w:ind w:firstLine="640" w:firstLineChars="200"/>
              <w:rPr>
                <w:rFonts w:ascii="宋体" w:hAnsi="宋体" w:cs="宋体"/>
                <w:color w:val="000000"/>
                <w:kern w:val="0"/>
                <w:sz w:val="32"/>
                <w:szCs w:val="32"/>
              </w:rPr>
            </w:pPr>
            <w:r>
              <w:rPr>
                <w:rFonts w:hint="eastAsia" w:ascii="仿宋_GB2312" w:eastAsia="仿宋_GB2312" w:cs="仿宋_GB2312"/>
                <w:bCs/>
                <w:kern w:val="0"/>
                <w:sz w:val="32"/>
                <w:szCs w:val="32"/>
              </w:rPr>
              <w:t>柳州高级中学没有国有资本经营预算财政拨款安排的支出，故本表无数据。</w:t>
            </w:r>
          </w:p>
          <w:p>
            <w:pPr>
              <w:widowControl/>
              <w:jc w:val="left"/>
              <w:textAlignment w:val="center"/>
              <w:rPr>
                <w:rFonts w:ascii="宋体" w:hAnsi="宋体" w:cs="宋体"/>
                <w:color w:val="000000"/>
                <w:sz w:val="24"/>
              </w:rPr>
            </w:pP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宋体" w:hAnsi="宋体" w:cs="宋体"/>
          <w:b/>
          <w:bCs/>
          <w:color w:val="000000"/>
          <w:sz w:val="32"/>
          <w:szCs w:val="32"/>
        </w:rPr>
        <w:t>柳州高级中学</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hAnsi="仿宋" w:eastAsia="仿宋_GB2312"/>
          <w:sz w:val="32"/>
          <w:szCs w:val="32"/>
        </w:rPr>
        <w:t>14985.48</w:t>
      </w:r>
      <w:r>
        <w:rPr>
          <w:rFonts w:hint="eastAsia" w:ascii="仿宋_GB2312" w:eastAsia="仿宋_GB2312" w:cs="仿宋_GB2312"/>
          <w:bCs/>
          <w:kern w:val="0"/>
          <w:sz w:val="32"/>
          <w:szCs w:val="32"/>
        </w:rPr>
        <w:t>万元，支出总计</w:t>
      </w:r>
      <w:r>
        <w:rPr>
          <w:rFonts w:hint="eastAsia" w:ascii="仿宋_GB2312" w:eastAsia="仿宋_GB2312"/>
          <w:sz w:val="28"/>
          <w:szCs w:val="28"/>
        </w:rPr>
        <w:t>14985.48</w:t>
      </w:r>
      <w:r>
        <w:rPr>
          <w:rFonts w:hint="eastAsia" w:ascii="仿宋_GB2312" w:eastAsia="仿宋_GB2312" w:cs="仿宋_GB2312"/>
          <w:bCs/>
          <w:kern w:val="0"/>
          <w:sz w:val="32"/>
          <w:szCs w:val="32"/>
        </w:rPr>
        <w:t>万元，与2019年相比，收、支分别增加1830.35</w:t>
      </w:r>
      <w:r>
        <w:rPr>
          <w:rFonts w:hint="eastAsia" w:ascii="宋体" w:hAnsi="宋体" w:cs="宋体"/>
          <w:bCs/>
          <w:kern w:val="0"/>
          <w:sz w:val="32"/>
          <w:szCs w:val="32"/>
        </w:rPr>
        <w:t>万元、</w:t>
      </w:r>
      <w:r>
        <w:rPr>
          <w:rFonts w:hint="eastAsia" w:ascii="仿宋_GB2312" w:eastAsia="仿宋_GB2312" w:cs="仿宋_GB2312"/>
          <w:bCs/>
          <w:kern w:val="0"/>
          <w:sz w:val="32"/>
          <w:szCs w:val="32"/>
        </w:rPr>
        <w:t>；分别增长12.21%</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sz w:val="28"/>
          <w:szCs w:val="28"/>
        </w:rPr>
        <w:t>13972.14</w:t>
      </w:r>
      <w:r>
        <w:rPr>
          <w:rFonts w:hint="eastAsia" w:ascii="仿宋_GB2312" w:eastAsia="仿宋_GB2312" w:cs="仿宋_GB2312"/>
          <w:bCs/>
          <w:kern w:val="0"/>
          <w:sz w:val="32"/>
          <w:szCs w:val="32"/>
        </w:rPr>
        <w:t>万元（逐项说明） ，其中：一般公共预算财政拨款收入</w:t>
      </w:r>
      <w:r>
        <w:rPr>
          <w:rFonts w:hint="eastAsia" w:ascii="仿宋_GB2312" w:eastAsia="仿宋_GB2312"/>
          <w:sz w:val="28"/>
          <w:szCs w:val="28"/>
        </w:rPr>
        <w:t>13659.97</w:t>
      </w:r>
      <w:r>
        <w:rPr>
          <w:rFonts w:hint="eastAsia" w:ascii="仿宋_GB2312" w:eastAsia="仿宋_GB2312" w:cs="仿宋_GB2312"/>
          <w:bCs/>
          <w:kern w:val="0"/>
          <w:sz w:val="32"/>
          <w:szCs w:val="32"/>
        </w:rPr>
        <w:t>万元；占比97.77% ；政府基金预算财政拨款收入0万元；占比0%；上级补助收入0万元，占比0% ；事业收入</w:t>
      </w:r>
      <w:r>
        <w:rPr>
          <w:rFonts w:hint="eastAsia" w:ascii="仿宋_GB2312" w:eastAsia="仿宋_GB2312"/>
          <w:sz w:val="28"/>
          <w:szCs w:val="28"/>
        </w:rPr>
        <w:t>305.81</w:t>
      </w:r>
      <w:r>
        <w:rPr>
          <w:rFonts w:hint="eastAsia" w:ascii="仿宋_GB2312" w:eastAsia="仿宋_GB2312" w:cs="仿宋_GB2312"/>
          <w:bCs/>
          <w:kern w:val="0"/>
          <w:sz w:val="32"/>
          <w:szCs w:val="32"/>
        </w:rPr>
        <w:t>万元，占比2.19% ；事业单位经营收入0万元，占比0%；其他收入</w:t>
      </w:r>
      <w:r>
        <w:rPr>
          <w:rFonts w:hint="eastAsia" w:ascii="仿宋_GB2312" w:eastAsia="仿宋_GB2312"/>
          <w:sz w:val="28"/>
          <w:szCs w:val="28"/>
        </w:rPr>
        <w:t>6.36</w:t>
      </w:r>
      <w:r>
        <w:rPr>
          <w:rFonts w:hint="eastAsia" w:ascii="仿宋_GB2312" w:eastAsia="仿宋_GB2312" w:cs="仿宋_GB2312"/>
          <w:bCs/>
          <w:kern w:val="0"/>
          <w:sz w:val="32"/>
          <w:szCs w:val="32"/>
        </w:rPr>
        <w:t>万元，占比0.04%。</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hint="eastAsia" w:ascii="仿宋_GB2312" w:eastAsia="仿宋_GB2312"/>
          <w:sz w:val="28"/>
          <w:szCs w:val="28"/>
        </w:rPr>
        <w:t>14073.86</w:t>
      </w:r>
      <w:r>
        <w:rPr>
          <w:rFonts w:hint="eastAsia" w:ascii="仿宋_GB2312" w:eastAsia="仿宋_GB2312" w:cs="仿宋_GB2312"/>
          <w:bCs/>
          <w:kern w:val="0"/>
          <w:sz w:val="32"/>
          <w:szCs w:val="32"/>
        </w:rPr>
        <w:t xml:space="preserve"> 万元（逐项说明），其中：基本支出</w:t>
      </w:r>
      <w:r>
        <w:rPr>
          <w:rFonts w:ascii="仿宋_GB2312" w:eastAsia="仿宋_GB2312"/>
          <w:sz w:val="28"/>
          <w:szCs w:val="28"/>
        </w:rPr>
        <w:t>13515</w:t>
      </w:r>
      <w:r>
        <w:rPr>
          <w:rFonts w:hint="eastAsia" w:ascii="仿宋_GB2312" w:eastAsia="仿宋_GB2312"/>
          <w:sz w:val="28"/>
          <w:szCs w:val="28"/>
        </w:rPr>
        <w:t>.</w:t>
      </w:r>
      <w:r>
        <w:rPr>
          <w:rFonts w:ascii="仿宋_GB2312" w:eastAsia="仿宋_GB2312"/>
          <w:sz w:val="28"/>
          <w:szCs w:val="28"/>
        </w:rPr>
        <w:t>29</w:t>
      </w:r>
      <w:r>
        <w:rPr>
          <w:rFonts w:hint="eastAsia" w:ascii="仿宋_GB2312" w:eastAsia="仿宋_GB2312" w:cs="仿宋_GB2312"/>
          <w:bCs/>
          <w:kern w:val="0"/>
          <w:sz w:val="32"/>
          <w:szCs w:val="32"/>
        </w:rPr>
        <w:t>万元，占 96.03%；项目支出</w:t>
      </w:r>
      <w:r>
        <w:rPr>
          <w:rFonts w:ascii="仿宋_GB2312" w:eastAsia="仿宋_GB2312"/>
          <w:sz w:val="28"/>
          <w:szCs w:val="28"/>
        </w:rPr>
        <w:t>558</w:t>
      </w:r>
      <w:r>
        <w:rPr>
          <w:rFonts w:hint="eastAsia" w:ascii="仿宋_GB2312" w:eastAsia="仿宋_GB2312"/>
          <w:sz w:val="28"/>
          <w:szCs w:val="28"/>
        </w:rPr>
        <w:t>.</w:t>
      </w:r>
      <w:r>
        <w:rPr>
          <w:rFonts w:ascii="仿宋_GB2312" w:eastAsia="仿宋_GB2312"/>
          <w:sz w:val="28"/>
          <w:szCs w:val="28"/>
        </w:rPr>
        <w:t>57</w:t>
      </w:r>
      <w:r>
        <w:rPr>
          <w:rFonts w:hint="eastAsia" w:ascii="仿宋_GB2312" w:eastAsia="仿宋_GB2312" w:cs="仿宋_GB2312"/>
          <w:bCs/>
          <w:kern w:val="0"/>
          <w:sz w:val="32"/>
          <w:szCs w:val="32"/>
        </w:rPr>
        <w:t>万元， 占3.97%；经营支出0万元，占0%；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2020年度财政拨款收、支总决算13659.97万元、13900.35万元。与 2019 年相比，财政拨款收、支总计各增加1940.68、2995.27万元，增长16.56%、27.46%。</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hint="eastAsia" w:ascii="仿宋_GB2312" w:eastAsia="仿宋_GB2312"/>
          <w:sz w:val="28"/>
          <w:szCs w:val="28"/>
        </w:rPr>
        <w:t>13900.35</w:t>
      </w:r>
      <w:r>
        <w:rPr>
          <w:rFonts w:hint="eastAsia" w:ascii="仿宋_GB2312" w:eastAsia="仿宋_GB2312" w:cs="仿宋_GB2312"/>
          <w:bCs/>
          <w:kern w:val="0"/>
          <w:sz w:val="32"/>
          <w:szCs w:val="32"/>
        </w:rPr>
        <w:t xml:space="preserve"> 万元，占本年支出合计的 98.76%。与 2019 年相比，财政拨款支出增（减） 2995.27 万元，增加（下降）27.47%。</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w:t>
      </w:r>
      <w:r>
        <w:rPr>
          <w:rFonts w:hint="eastAsia" w:ascii="仿宋_GB2312" w:hAnsi="仿宋" w:eastAsia="仿宋_GB2312"/>
          <w:sz w:val="32"/>
          <w:szCs w:val="32"/>
        </w:rPr>
        <w:t>13900.35</w:t>
      </w:r>
      <w:r>
        <w:rPr>
          <w:rFonts w:hint="eastAsia" w:ascii="仿宋_GB2312" w:eastAsia="仿宋_GB2312" w:cs="仿宋_GB2312"/>
          <w:bCs/>
          <w:kern w:val="0"/>
          <w:sz w:val="32"/>
          <w:szCs w:val="32"/>
        </w:rPr>
        <w:t xml:space="preserve"> 万元，主要用于以下方面：一般公共服务（类）支出0万元， 占0%； 教育（类）支出</w:t>
      </w:r>
      <w:r>
        <w:rPr>
          <w:rFonts w:hint="eastAsia" w:ascii="仿宋_GB2312" w:hAnsi="仿宋" w:eastAsia="仿宋_GB2312"/>
          <w:sz w:val="32"/>
          <w:szCs w:val="32"/>
        </w:rPr>
        <w:t>13190.13</w:t>
      </w:r>
      <w:r>
        <w:rPr>
          <w:rFonts w:hint="eastAsia" w:ascii="仿宋_GB2312" w:eastAsia="仿宋_GB2312" w:cs="仿宋_GB2312"/>
          <w:bCs/>
          <w:kern w:val="0"/>
          <w:sz w:val="32"/>
          <w:szCs w:val="32"/>
        </w:rPr>
        <w:t>万元，占 94.89%；科学技术（类） 支出0万元，占 0%；文化体育与传媒（类）支出 0 万元，占0%；社会保障和就业（类）支出698.18万元，占 5.02%；农林水（类）支出0 万元，占0%； 住房保障（类）支出12.04万元，占0.09%。</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年度财政拨款支出年初预算为14673.31万元，支出决算为13900.35 万元，完成年初预算的 94.73%。</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2020年度财政拨款基本支出13341.77万元，其中：</w:t>
      </w:r>
    </w:p>
    <w:p>
      <w:pPr>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宋体" w:hAnsi="宋体" w:cs="宋体"/>
          <w:bCs/>
          <w:kern w:val="0"/>
          <w:sz w:val="32"/>
          <w:szCs w:val="32"/>
        </w:rPr>
        <w:t>人员经费</w:t>
      </w:r>
      <w:r>
        <w:rPr>
          <w:rFonts w:hint="eastAsia" w:ascii="仿宋_GB2312" w:eastAsia="仿宋_GB2312" w:cs="仿宋_GB2312"/>
          <w:bCs/>
          <w:kern w:val="0"/>
          <w:sz w:val="32"/>
          <w:szCs w:val="32"/>
        </w:rPr>
        <w:t>11970.67</w:t>
      </w:r>
      <w:r>
        <w:rPr>
          <w:rFonts w:hint="eastAsia" w:ascii="宋体" w:hAnsi="宋体" w:cs="宋体"/>
          <w:bCs/>
          <w:kern w:val="0"/>
          <w:sz w:val="32"/>
          <w:szCs w:val="32"/>
        </w:rPr>
        <w:t>万元</w:t>
      </w:r>
      <w:r>
        <w:rPr>
          <w:rFonts w:hint="eastAsia" w:ascii="Malgun Gothic Semilight" w:hAnsi="Malgun Gothic Semilight" w:eastAsia="Malgun Gothic Semilight" w:cs="Malgun Gothic Semilight"/>
          <w:bCs/>
          <w:kern w:val="0"/>
          <w:sz w:val="32"/>
          <w:szCs w:val="32"/>
        </w:rPr>
        <w:t>，</w:t>
      </w:r>
      <w:r>
        <w:rPr>
          <w:rFonts w:hint="eastAsia" w:ascii="宋体" w:hAnsi="宋体" w:cs="宋体"/>
          <w:bCs/>
          <w:kern w:val="0"/>
          <w:sz w:val="32"/>
          <w:szCs w:val="32"/>
        </w:rPr>
        <w:t>主要包括</w:t>
      </w:r>
      <w:r>
        <w:rPr>
          <w:rFonts w:hint="eastAsia" w:ascii="Malgun Gothic Semilight" w:hAnsi="Malgun Gothic Semilight" w:eastAsia="Malgun Gothic Semilight" w:cs="Malgun Gothic Semilight"/>
          <w:bCs/>
          <w:kern w:val="0"/>
          <w:sz w:val="32"/>
          <w:szCs w:val="32"/>
        </w:rPr>
        <w:t>：</w:t>
      </w:r>
      <w:r>
        <w:rPr>
          <w:rFonts w:hint="eastAsia" w:ascii="宋体" w:hAnsi="宋体" w:cs="宋体"/>
          <w:bCs/>
          <w:kern w:val="0"/>
          <w:sz w:val="32"/>
          <w:szCs w:val="32"/>
        </w:rPr>
        <w:t>基本工资</w:t>
      </w:r>
    </w:p>
    <w:p>
      <w:pPr>
        <w:jc w:val="left"/>
        <w:rPr>
          <w:rFonts w:ascii="宋体" w:hAnsi="宋体" w:cs="Arial"/>
          <w:color w:val="000000"/>
          <w:kern w:val="0"/>
          <w:sz w:val="22"/>
          <w:szCs w:val="22"/>
        </w:rPr>
      </w:pPr>
      <w:r>
        <w:rPr>
          <w:rFonts w:hint="eastAsia" w:ascii="仿宋_GB2312" w:eastAsia="仿宋_GB2312" w:cs="仿宋_GB2312"/>
          <w:bCs/>
          <w:kern w:val="0"/>
          <w:sz w:val="32"/>
          <w:szCs w:val="32"/>
        </w:rPr>
        <w:t>、津贴补贴、 奖金、伙食补助费、绩效工资、机关事业单位基本养老保险缴费、职业年金缴费、其他社会保障缴费、职工基本医疗保险缴费、公务员医疗补助缴费、其他工资福利支出、 离休费、退休费、抚恤金、生活补助、住房公积金、助学金；</w:t>
      </w:r>
    </w:p>
    <w:p>
      <w:pPr>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公用经费1371.10万元，主要 包括：办公费、印刷费、水费、电费、邮电费、物业管理费、差旅费、维 修（护）费、专用材料费、劳务费、委托业务费、工会经费、公务用车运行维护费、其他交通费用、其他商品和服务支出。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 9.35万元，支出决算为1.64万元，完成预算的17.54%，其中：因公出国（境）费支出决算为0万元，完成预算的0%；公务用车购置及运行费支出决算为1.64万元，完成预算的17.54%；公务接待费支出决算为0万元，完成预算的0%。2020年度“三公”经费支出决算数小于预算数的主要原因是按照上级精神严控“三公”经费支出，国际课程班停办减少相关因公出国出境费用需求，其中公务用车运行维护费用下降主要由于疫情原因减少公务用车运行维护费中的油费开支，另有一辆原有公务用车报废，减少公务用车运行维护费用的必要开支。</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2020年度“三公”经费财政拨款支出决算数比2019年减少0.72万元，下降30.51%，其中：因公出国（境）费支出决 算减少0万元，下降0%；公务用车购置及运行费支出 决算减少0.68万元，下降29.31%；公务接待费支出决算减少0.04万元，下降100.00%。</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公务用车购置及运行费支出减少的主要原因是公务用车运行维护费用下降主要由于疫情原因减少公务用车运行维护费中的油费开支，另有一辆原有公务用车报废，减少公务用车运行维护费用的必要开支。</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支出决算1.64万元，占100.00 %；公务接待费支出决算0 万元，占0 %。具体情况如下：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2.公务用车购置及运行费支出1.64万元。其中： 公务用车购置支出为0万元。公务用车运行支出1.64万元。主要用于公务用车辆保养和维修费用。2020年，机关所属单位开支财政拨款的公务用车保有量为2辆。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2020 年度政府性基金预算财政拨款收入支出决算情况说明 （根据实际情况作表述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kern w:val="0"/>
          <w:sz w:val="32"/>
          <w:szCs w:val="32"/>
        </w:rPr>
        <w:t xml:space="preserve">   本单位 2020年度无政府基金预算财政拨款收入、支出。</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国有资本经营预算财政拨款支出情况说明（根据实际情况作表述）</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w:t>
      </w:r>
      <w:r>
        <w:rPr>
          <w:rFonts w:hint="eastAsia" w:ascii="宋体" w:hAnsi="宋体" w:cs="宋体"/>
          <w:bCs/>
          <w:kern w:val="0"/>
          <w:sz w:val="32"/>
          <w:szCs w:val="32"/>
        </w:rPr>
        <w:t>我</w:t>
      </w:r>
      <w:r>
        <w:rPr>
          <w:rFonts w:hint="eastAsia" w:ascii="仿宋_GB2312" w:eastAsia="仿宋_GB2312" w:cs="仿宋_GB2312"/>
          <w:bCs/>
          <w:kern w:val="0"/>
          <w:sz w:val="32"/>
          <w:szCs w:val="32"/>
        </w:rPr>
        <w:t>单位无国有资本经营预算财政拨款本年支出。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2020年度一般公共预算整体支出全面开展绩效自评。接到《关于开展2020年度市本级预算支出绩效自评工作的通知》，组织了各部门负责人收集了年度绩效指标的“数量指标”、“质量指标”、“时效指标”、“成本指标”、“经济效益指标”、“社会效益指标”、“生态效益指标”、“可持续影响指标”及“服务对象满意度指标”的相关数据进行分析并打分。</w:t>
      </w:r>
    </w:p>
    <w:p>
      <w:p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2020年一般公共预算安排资金14673.31万元；实际使用13900.35万元，预算资金执行率94.73%，但因为年初结转结余1013.34万元不纳入绩效考评，减掉这部分后，预算执行率达到94.34%，完成预期目标的99.31%。</w:t>
      </w:r>
    </w:p>
    <w:p>
      <w:p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年度绩效指标除支出预算执行率一项外均完成预期。支出预算执行率年度指标值为95%，全年实际值为94.34%，指标完成率为99.31%，未完成年度绩效目标的主要原因为：受疫情影响，差旅费等支出大幅下降，未完成年初预算支出目标；2019年末下达增人增资、2018-19年高三教师专项绩效预算等人员经费合计1800余万元（以前年度已用学校非税收入垫支部分预算内人员经费支出），其中847.7万元结余至2020年继续使用，使2020年预算内人员经费形成较大结余。</w:t>
      </w:r>
    </w:p>
    <w:p>
      <w:p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总体来看，学校2020年度各项绩效目标基本完成，但预算执行率只达到94.34%，且预算执行进度不均衡，年底资金执行压力大。2020年将加快支出进度，提高预算执行率。</w:t>
      </w:r>
    </w:p>
    <w:p>
      <w:pPr>
        <w:autoSpaceDE w:val="0"/>
        <w:autoSpaceDN w:val="0"/>
        <w:adjustRightInd w:val="0"/>
        <w:spacing w:line="580" w:lineRule="exact"/>
        <w:jc w:val="left"/>
        <w:rPr>
          <w:rFonts w:ascii="仿宋_GB2312" w:eastAsia="仿宋_GB2312" w:cs="仿宋_GB2312"/>
          <w:b/>
          <w:kern w:val="0"/>
          <w:sz w:val="32"/>
          <w:szCs w:val="32"/>
        </w:rPr>
      </w:pPr>
      <w:r>
        <w:rPr>
          <w:rFonts w:hint="eastAsia" w:ascii="宋体" w:hAnsi="宋体" w:cs="宋体"/>
          <w:b/>
          <w:kern w:val="0"/>
          <w:sz w:val="32"/>
          <w:szCs w:val="32"/>
        </w:rPr>
        <w:t>十一</w:t>
      </w:r>
      <w:r>
        <w:rPr>
          <w:rFonts w:hint="eastAsia" w:ascii="Malgun Gothic Semilight" w:hAnsi="Malgun Gothic Semilight" w:eastAsia="Malgun Gothic Semilight" w:cs="Malgun Gothic Semilight"/>
          <w:b/>
          <w:kern w:val="0"/>
          <w:sz w:val="32"/>
          <w:szCs w:val="32"/>
        </w:rPr>
        <w:t>、</w:t>
      </w:r>
      <w:r>
        <w:rPr>
          <w:rFonts w:hint="eastAsia" w:ascii="宋体" w:hAnsi="宋体" w:cs="宋体"/>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（一）政府采购支出情况。2020年度部门政府采购支出总额93.87万元，其中：货物支出93.87万元。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（二）国有资产占用情况。截至年末部门共有车辆2辆，其中：公务用车2 辆；执法执勤用车0辆；专业技术用车0辆；单价50万元 以上通用设备</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台（套）。</w:t>
      </w: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其他收入：指除上述“财政拨款收入”、“事业收入”、“经营收入”等以外的收入。主要是：捐赠收入等。</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Malgun Gothic Semilight">
    <w:altName w:val="宋体"/>
    <w:panose1 w:val="020B0502040204020203"/>
    <w:charset w:val="86"/>
    <w:family w:val="swiss"/>
    <w:pitch w:val="default"/>
    <w:sig w:usb0="00000000" w:usb1="00000000" w:usb2="00000012" w:usb3="00000000" w:csb0="003E01BD"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- 7 -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03336"/>
    <w:rsid w:val="00066CA3"/>
    <w:rsid w:val="00221BA3"/>
    <w:rsid w:val="00234E3B"/>
    <w:rsid w:val="002F12E2"/>
    <w:rsid w:val="00334EBF"/>
    <w:rsid w:val="003D5434"/>
    <w:rsid w:val="00466890"/>
    <w:rsid w:val="004D5039"/>
    <w:rsid w:val="00670C7E"/>
    <w:rsid w:val="006C1367"/>
    <w:rsid w:val="00715385"/>
    <w:rsid w:val="007929E3"/>
    <w:rsid w:val="008031EB"/>
    <w:rsid w:val="008404A6"/>
    <w:rsid w:val="00AB34D6"/>
    <w:rsid w:val="00B44D4C"/>
    <w:rsid w:val="00D5001D"/>
    <w:rsid w:val="00F66C5B"/>
    <w:rsid w:val="00F82BF7"/>
    <w:rsid w:val="00FD445D"/>
    <w:rsid w:val="0DA86951"/>
    <w:rsid w:val="0E074DDF"/>
    <w:rsid w:val="124204B5"/>
    <w:rsid w:val="182962AB"/>
    <w:rsid w:val="19D073EB"/>
    <w:rsid w:val="1CC31F67"/>
    <w:rsid w:val="24D337DC"/>
    <w:rsid w:val="26460DBA"/>
    <w:rsid w:val="28681859"/>
    <w:rsid w:val="2B6F74EB"/>
    <w:rsid w:val="2C4219FE"/>
    <w:rsid w:val="34020F86"/>
    <w:rsid w:val="39A63F06"/>
    <w:rsid w:val="3ED1439F"/>
    <w:rsid w:val="44500BF5"/>
    <w:rsid w:val="48374EDC"/>
    <w:rsid w:val="4C256E3D"/>
    <w:rsid w:val="4CB52F0F"/>
    <w:rsid w:val="532F1F9A"/>
    <w:rsid w:val="56A7461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uiPriority w:val="0"/>
    <w:rPr>
      <w:rFonts w:hint="eastAsia" w:ascii="宋体" w:hAnsi="宋体" w:eastAsia="宋体" w:cs="宋体"/>
      <w:color w:val="000000"/>
      <w:sz w:val="22"/>
      <w:szCs w:val="22"/>
      <w:u w:val="none"/>
    </w:rPr>
  </w:style>
  <w:style w:type="character" w:customStyle="1" w:styleId="10">
    <w:name w:val="font0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1868</Words>
  <Characters>10651</Characters>
  <Lines>88</Lines>
  <Paragraphs>24</Paragraphs>
  <TotalTime>11</TotalTime>
  <ScaleCrop>false</ScaleCrop>
  <LinksUpToDate>false</LinksUpToDate>
  <CharactersWithSpaces>12495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2021-07-28T10:04:00Z</dcterms:created>
  <dc:creator>陈冬雪</dc:creator>
  <cp:lastModifiedBy>Administrator</cp:lastModifiedBy>
  <cp:lastPrinted>2021-07-07T01:10:00Z</cp:lastPrinted>
  <dcterms:modified xsi:type="dcterms:W3CDTF">2021-08-01T04:57:45Z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