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仿宋_GB2312" w:hAnsi="仿宋_GB2312" w:eastAsia="仿宋_GB2312" w:cs="ArialUnicodeMS"/>
          <w:kern w:val="0"/>
          <w:sz w:val="32"/>
          <w:szCs w:val="32"/>
        </w:rPr>
      </w:pPr>
      <w:bookmarkStart w:id="0" w:name="_GoBack"/>
      <w:bookmarkEnd w:id="0"/>
    </w:p>
    <w:p>
      <w:pPr>
        <w:pStyle w:val="5"/>
        <w:rPr>
          <w:rFonts w:ascii="黑体" w:hAnsi="黑体" w:eastAsia="黑体" w:cs="ArialUnicodeMS"/>
          <w:kern w:val="0"/>
          <w:sz w:val="72"/>
          <w:szCs w:val="72"/>
        </w:rPr>
      </w:pPr>
    </w:p>
    <w:p>
      <w:pPr>
        <w:pStyle w:val="5"/>
        <w:rPr>
          <w:rFonts w:ascii="黑体" w:hAnsi="黑体" w:eastAsia="黑体" w:cs="ArialUnicodeMS"/>
          <w:kern w:val="0"/>
          <w:sz w:val="72"/>
          <w:szCs w:val="72"/>
        </w:rPr>
      </w:pPr>
    </w:p>
    <w:p>
      <w:pPr>
        <w:pStyle w:val="5"/>
        <w:jc w:val="center"/>
        <w:rPr>
          <w:rFonts w:ascii="黑体" w:hAnsi="黑体" w:eastAsia="黑体"/>
          <w:bCs/>
          <w:color w:val="000000"/>
          <w:sz w:val="52"/>
          <w:szCs w:val="52"/>
        </w:rPr>
      </w:pPr>
      <w:r>
        <w:rPr>
          <w:rFonts w:ascii="黑体" w:hAnsi="黑体" w:eastAsia="黑体" w:cs="ArialUnicodeMS"/>
          <w:kern w:val="0"/>
          <w:sz w:val="52"/>
          <w:szCs w:val="52"/>
        </w:rPr>
        <w:t>柳州市生态环境</w:t>
      </w:r>
      <w:r>
        <w:rPr>
          <w:rFonts w:hint="eastAsia" w:ascii="黑体" w:hAnsi="黑体" w:eastAsia="黑体" w:cs="ArialUnicodeMS"/>
          <w:kern w:val="0"/>
          <w:sz w:val="52"/>
          <w:szCs w:val="52"/>
        </w:rPr>
        <w:t>技术保障中心</w:t>
      </w:r>
    </w:p>
    <w:p>
      <w:pPr>
        <w:pStyle w:val="5"/>
        <w:jc w:val="center"/>
        <w:rPr>
          <w:rFonts w:ascii="黑体" w:hAnsi="黑体" w:eastAsia="黑体" w:cs="ArialUnicodeMS"/>
          <w:kern w:val="0"/>
          <w:sz w:val="52"/>
          <w:szCs w:val="52"/>
        </w:rPr>
      </w:pPr>
      <w:r>
        <w:rPr>
          <w:rFonts w:ascii="黑体" w:hAnsi="黑体" w:eastAsia="黑体"/>
          <w:kern w:val="0"/>
          <w:sz w:val="52"/>
          <w:szCs w:val="52"/>
        </w:rPr>
        <w:t>2020</w:t>
      </w:r>
      <w:r>
        <w:rPr>
          <w:rFonts w:ascii="黑体" w:hAnsi="黑体" w:eastAsia="黑体" w:cs="ArialUnicodeMS"/>
          <w:kern w:val="0"/>
          <w:sz w:val="52"/>
          <w:szCs w:val="52"/>
        </w:rPr>
        <w:t>年度</w:t>
      </w:r>
      <w:r>
        <w:rPr>
          <w:rFonts w:hint="eastAsia" w:ascii="黑体" w:hAnsi="黑体" w:eastAsia="黑体" w:cs="ArialUnicodeMS"/>
          <w:kern w:val="0"/>
          <w:sz w:val="52"/>
          <w:szCs w:val="52"/>
        </w:rPr>
        <w:t>单位</w:t>
      </w:r>
      <w:r>
        <w:rPr>
          <w:rFonts w:ascii="黑体" w:hAnsi="黑体" w:eastAsia="黑体" w:cs="ArialUnicodeMS"/>
          <w:kern w:val="0"/>
          <w:sz w:val="52"/>
          <w:szCs w:val="52"/>
        </w:rPr>
        <w:t>决算</w:t>
      </w: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rPr>
          <w:rFonts w:ascii="ArialUnicodeMS" w:hAnsi="ArialUnicodeMS" w:eastAsia="ArialUnicodeMS" w:cs="ArialUnicodeMS"/>
          <w:kern w:val="0"/>
          <w:sz w:val="84"/>
          <w:szCs w:val="84"/>
        </w:rPr>
      </w:pPr>
    </w:p>
    <w:p>
      <w:pPr>
        <w:pStyle w:val="5"/>
        <w:jc w:val="center"/>
        <w:rPr>
          <w:rFonts w:ascii="黑体" w:hAnsi="黑体" w:eastAsia="黑体" w:cs="黑体"/>
          <w:kern w:val="0"/>
          <w:sz w:val="44"/>
          <w:szCs w:val="44"/>
        </w:rPr>
      </w:pPr>
    </w:p>
    <w:p>
      <w:pPr>
        <w:pStyle w:val="5"/>
        <w:ind w:firstLine="646"/>
        <w:jc w:val="center"/>
        <w:rPr>
          <w:rFonts w:ascii="方正小标宋简体" w:hAnsi="方正小标宋简体" w:eastAsia="方正小标宋简体"/>
          <w:b/>
          <w:sz w:val="44"/>
          <w:szCs w:val="44"/>
        </w:rPr>
      </w:pPr>
      <w:r>
        <w:rPr>
          <w:rFonts w:ascii="方正小标宋简体" w:hAnsi="方正小标宋简体" w:eastAsia="方正小标宋简体"/>
          <w:b/>
          <w:sz w:val="44"/>
          <w:szCs w:val="44"/>
        </w:rPr>
        <w:t>目    录</w:t>
      </w:r>
    </w:p>
    <w:p>
      <w:pPr>
        <w:pStyle w:val="5"/>
        <w:ind w:firstLine="645"/>
        <w:rPr>
          <w:rFonts w:ascii="仿宋_GB2312" w:hAnsi="仿宋_GB2312" w:eastAsia="仿宋_GB2312"/>
          <w:b/>
          <w:sz w:val="32"/>
          <w:szCs w:val="32"/>
        </w:rPr>
      </w:pPr>
    </w:p>
    <w:p>
      <w:pPr>
        <w:pStyle w:val="5"/>
        <w:ind w:firstLine="645"/>
        <w:rPr>
          <w:rFonts w:ascii="仿宋_GB2312" w:hAnsi="仿宋_GB2312" w:eastAsia="仿宋_GB2312"/>
          <w:b/>
          <w:sz w:val="32"/>
          <w:szCs w:val="32"/>
        </w:rPr>
      </w:pPr>
      <w:r>
        <w:rPr>
          <w:rFonts w:ascii="仿宋_GB2312" w:hAnsi="仿宋_GB2312" w:eastAsia="仿宋_GB2312"/>
          <w:b/>
          <w:sz w:val="32"/>
          <w:szCs w:val="32"/>
        </w:rPr>
        <w:t>第一部分：</w:t>
      </w:r>
      <w:r>
        <w:rPr>
          <w:rFonts w:ascii="仿宋_GB2312" w:hAnsi="仿宋_GB2312" w:eastAsia="仿宋_GB2312"/>
          <w:b/>
          <w:bCs/>
          <w:color w:val="000000"/>
          <w:sz w:val="32"/>
          <w:szCs w:val="32"/>
          <w:u w:val="single"/>
        </w:rPr>
        <w:t>柳州市生态环境</w:t>
      </w:r>
      <w:r>
        <w:rPr>
          <w:rFonts w:hint="eastAsia" w:ascii="仿宋_GB2312" w:hAnsi="仿宋_GB2312" w:eastAsia="仿宋_GB2312"/>
          <w:b/>
          <w:bCs/>
          <w:color w:val="000000"/>
          <w:sz w:val="32"/>
          <w:szCs w:val="32"/>
          <w:u w:val="single"/>
        </w:rPr>
        <w:t>技术保障中心</w:t>
      </w:r>
      <w:r>
        <w:rPr>
          <w:rFonts w:ascii="仿宋_GB2312" w:hAnsi="仿宋_GB2312" w:eastAsia="仿宋_GB2312"/>
          <w:b/>
          <w:sz w:val="32"/>
          <w:szCs w:val="32"/>
        </w:rPr>
        <w:t>概况</w:t>
      </w:r>
    </w:p>
    <w:p>
      <w:pPr>
        <w:pStyle w:val="5"/>
        <w:ind w:firstLine="645"/>
        <w:rPr>
          <w:rFonts w:ascii="仿宋_GB2312" w:hAnsi="仿宋_GB2312" w:eastAsia="仿宋_GB2312"/>
          <w:sz w:val="32"/>
          <w:szCs w:val="32"/>
        </w:rPr>
      </w:pPr>
      <w:r>
        <w:rPr>
          <w:rFonts w:ascii="仿宋_GB2312" w:hAnsi="仿宋_GB2312" w:eastAsia="仿宋_GB2312"/>
          <w:sz w:val="32"/>
          <w:szCs w:val="32"/>
        </w:rPr>
        <w:t>一、主要职能</w:t>
      </w:r>
    </w:p>
    <w:p>
      <w:pPr>
        <w:pStyle w:val="5"/>
        <w:ind w:firstLine="645"/>
        <w:rPr>
          <w:rFonts w:ascii="仿宋_GB2312" w:hAnsi="仿宋_GB2312" w:eastAsia="仿宋_GB2312"/>
          <w:sz w:val="32"/>
          <w:szCs w:val="32"/>
        </w:rPr>
      </w:pPr>
      <w:r>
        <w:rPr>
          <w:rFonts w:ascii="仿宋_GB2312" w:hAnsi="仿宋_GB2312" w:eastAsia="仿宋_GB2312"/>
          <w:sz w:val="32"/>
          <w:szCs w:val="32"/>
        </w:rPr>
        <w:t>二、部门决算单位构成</w:t>
      </w:r>
    </w:p>
    <w:p>
      <w:pPr>
        <w:pStyle w:val="5"/>
        <w:ind w:firstLine="645"/>
        <w:rPr>
          <w:rFonts w:ascii="仿宋_GB2312" w:hAnsi="仿宋_GB2312" w:eastAsia="仿宋_GB2312"/>
          <w:b/>
          <w:sz w:val="32"/>
          <w:szCs w:val="32"/>
        </w:rPr>
      </w:pPr>
      <w:r>
        <w:rPr>
          <w:rFonts w:ascii="仿宋_GB2312" w:hAnsi="仿宋_GB2312" w:eastAsia="仿宋_GB2312"/>
          <w:b/>
          <w:sz w:val="32"/>
          <w:szCs w:val="32"/>
        </w:rPr>
        <w:t>第二部分：</w:t>
      </w:r>
      <w:r>
        <w:rPr>
          <w:rFonts w:ascii="仿宋_GB2312" w:hAnsi="仿宋_GB2312" w:eastAsia="仿宋_GB2312"/>
          <w:b/>
          <w:bCs/>
          <w:color w:val="000000"/>
          <w:sz w:val="32"/>
          <w:szCs w:val="32"/>
          <w:u w:val="single"/>
        </w:rPr>
        <w:t>柳州市生态环境</w:t>
      </w:r>
      <w:r>
        <w:rPr>
          <w:rFonts w:hint="eastAsia" w:ascii="仿宋_GB2312" w:hAnsi="仿宋_GB2312" w:eastAsia="仿宋_GB2312"/>
          <w:b/>
          <w:bCs/>
          <w:color w:val="000000"/>
          <w:sz w:val="32"/>
          <w:szCs w:val="32"/>
          <w:u w:val="single"/>
        </w:rPr>
        <w:t>技术保障中心</w:t>
      </w:r>
      <w:r>
        <w:rPr>
          <w:rFonts w:ascii="仿宋_GB2312" w:hAnsi="仿宋_GB2312" w:eastAsia="仿宋_GB2312"/>
          <w:b/>
          <w:sz w:val="32"/>
          <w:szCs w:val="32"/>
        </w:rPr>
        <w:t>2020年决算报表</w:t>
      </w:r>
    </w:p>
    <w:p>
      <w:pPr>
        <w:pStyle w:val="5"/>
        <w:ind w:left="645"/>
        <w:rPr>
          <w:rFonts w:ascii="仿宋_GB2312" w:hAnsi="仿宋_GB2312" w:eastAsia="仿宋_GB2312"/>
          <w:sz w:val="32"/>
          <w:szCs w:val="32"/>
        </w:rPr>
      </w:pPr>
      <w:r>
        <w:rPr>
          <w:rFonts w:ascii="仿宋_GB2312" w:hAnsi="仿宋_GB2312" w:eastAsia="仿宋_GB2312"/>
          <w:sz w:val="32"/>
          <w:szCs w:val="32"/>
        </w:rPr>
        <w:t>表一：收入支出决算总表</w:t>
      </w:r>
    </w:p>
    <w:p>
      <w:pPr>
        <w:pStyle w:val="5"/>
        <w:ind w:left="645"/>
        <w:rPr>
          <w:rFonts w:ascii="仿宋_GB2312" w:hAnsi="仿宋_GB2312" w:eastAsia="仿宋_GB2312"/>
          <w:sz w:val="32"/>
          <w:szCs w:val="32"/>
        </w:rPr>
      </w:pPr>
      <w:r>
        <w:rPr>
          <w:rFonts w:ascii="仿宋_GB2312" w:hAnsi="仿宋_GB2312" w:eastAsia="仿宋_GB2312"/>
          <w:sz w:val="32"/>
          <w:szCs w:val="32"/>
        </w:rPr>
        <w:t>表二：收入决算表</w:t>
      </w:r>
    </w:p>
    <w:p>
      <w:pPr>
        <w:pStyle w:val="5"/>
        <w:ind w:left="645"/>
        <w:rPr>
          <w:rFonts w:ascii="仿宋_GB2312" w:hAnsi="仿宋_GB2312" w:eastAsia="仿宋_GB2312"/>
          <w:sz w:val="32"/>
          <w:szCs w:val="32"/>
        </w:rPr>
      </w:pPr>
      <w:r>
        <w:rPr>
          <w:rFonts w:ascii="仿宋_GB2312" w:hAnsi="仿宋_GB2312" w:eastAsia="仿宋_GB2312"/>
          <w:sz w:val="32"/>
          <w:szCs w:val="32"/>
        </w:rPr>
        <w:t>表三：支出决算表</w:t>
      </w:r>
    </w:p>
    <w:p>
      <w:pPr>
        <w:pStyle w:val="5"/>
        <w:ind w:left="645"/>
        <w:rPr>
          <w:rFonts w:ascii="仿宋_GB2312" w:hAnsi="仿宋_GB2312" w:eastAsia="仿宋_GB2312"/>
          <w:sz w:val="32"/>
          <w:szCs w:val="32"/>
        </w:rPr>
      </w:pPr>
      <w:r>
        <w:rPr>
          <w:rFonts w:ascii="仿宋_GB2312" w:hAnsi="仿宋_GB2312" w:eastAsia="仿宋_GB2312"/>
          <w:sz w:val="32"/>
          <w:szCs w:val="32"/>
        </w:rPr>
        <w:t>表四：财政拨款收入支出决算总表</w:t>
      </w:r>
    </w:p>
    <w:p>
      <w:pPr>
        <w:pStyle w:val="5"/>
        <w:ind w:left="645"/>
        <w:rPr>
          <w:rFonts w:ascii="仿宋_GB2312" w:hAnsi="仿宋_GB2312" w:eastAsia="仿宋_GB2312"/>
          <w:sz w:val="32"/>
          <w:szCs w:val="32"/>
        </w:rPr>
      </w:pPr>
      <w:r>
        <w:rPr>
          <w:rFonts w:ascii="仿宋_GB2312" w:hAnsi="仿宋_GB2312" w:eastAsia="仿宋_GB2312"/>
          <w:sz w:val="32"/>
          <w:szCs w:val="32"/>
        </w:rPr>
        <w:t>表五：一般公共预算财政拨款支出决算表</w:t>
      </w:r>
    </w:p>
    <w:p>
      <w:pPr>
        <w:pStyle w:val="5"/>
        <w:ind w:left="645"/>
        <w:rPr>
          <w:rFonts w:ascii="仿宋_GB2312" w:hAnsi="仿宋_GB2312" w:eastAsia="仿宋_GB2312"/>
          <w:sz w:val="32"/>
          <w:szCs w:val="32"/>
        </w:rPr>
      </w:pPr>
      <w:r>
        <w:rPr>
          <w:rFonts w:ascii="仿宋_GB2312" w:hAnsi="仿宋_GB2312" w:eastAsia="仿宋_GB2312"/>
          <w:sz w:val="32"/>
          <w:szCs w:val="32"/>
        </w:rPr>
        <w:t>表六：一般公共预算财政拨款基本支出决算表</w:t>
      </w:r>
    </w:p>
    <w:p>
      <w:pPr>
        <w:pStyle w:val="5"/>
        <w:ind w:left="645"/>
        <w:rPr>
          <w:rFonts w:ascii="仿宋_GB2312" w:hAnsi="仿宋_GB2312" w:eastAsia="仿宋_GB2312"/>
          <w:sz w:val="32"/>
          <w:szCs w:val="32"/>
        </w:rPr>
      </w:pPr>
      <w:r>
        <w:rPr>
          <w:rFonts w:ascii="仿宋_GB2312" w:hAnsi="仿宋_GB2312" w:eastAsia="仿宋_GB2312"/>
          <w:sz w:val="32"/>
          <w:szCs w:val="32"/>
        </w:rPr>
        <w:t>表七：一般公共预算财政拨款安排的“三公”经费支出决算表</w:t>
      </w:r>
    </w:p>
    <w:p>
      <w:pPr>
        <w:pStyle w:val="5"/>
        <w:ind w:left="645"/>
        <w:rPr>
          <w:rFonts w:ascii="仿宋_GB2312" w:hAnsi="仿宋_GB2312" w:eastAsia="仿宋_GB2312"/>
          <w:sz w:val="32"/>
          <w:szCs w:val="32"/>
        </w:rPr>
      </w:pPr>
      <w:r>
        <w:rPr>
          <w:rFonts w:ascii="仿宋_GB2312" w:hAnsi="仿宋_GB2312" w:eastAsia="仿宋_GB2312"/>
          <w:sz w:val="32"/>
          <w:szCs w:val="32"/>
        </w:rPr>
        <w:t>表八：政府性基金预算财政拨款收入支出决算表</w:t>
      </w:r>
    </w:p>
    <w:p>
      <w:pPr>
        <w:pStyle w:val="5"/>
        <w:ind w:left="645"/>
        <w:rPr>
          <w:rFonts w:ascii="仿宋_GB2312" w:hAnsi="仿宋_GB2312" w:eastAsia="仿宋_GB2312"/>
          <w:sz w:val="32"/>
          <w:szCs w:val="32"/>
        </w:rPr>
      </w:pPr>
      <w:r>
        <w:rPr>
          <w:rFonts w:ascii="仿宋_GB2312" w:hAnsi="仿宋_GB2312" w:eastAsia="仿宋_GB2312"/>
          <w:sz w:val="32"/>
          <w:szCs w:val="32"/>
        </w:rPr>
        <w:t>表九：国有资本经营预算财政拨款支出决算表</w:t>
      </w:r>
    </w:p>
    <w:p>
      <w:pPr>
        <w:pStyle w:val="5"/>
        <w:ind w:firstLine="645"/>
        <w:rPr>
          <w:rFonts w:ascii="仿宋_GB2312" w:hAnsi="仿宋_GB2312" w:eastAsia="仿宋_GB2312"/>
          <w:b/>
          <w:sz w:val="32"/>
          <w:szCs w:val="32"/>
        </w:rPr>
      </w:pPr>
      <w:r>
        <w:rPr>
          <w:rFonts w:ascii="仿宋_GB2312" w:hAnsi="仿宋_GB2312" w:eastAsia="仿宋_GB2312"/>
          <w:b/>
          <w:sz w:val="32"/>
          <w:szCs w:val="32"/>
        </w:rPr>
        <w:t>第三部分：</w:t>
      </w:r>
      <w:r>
        <w:rPr>
          <w:rFonts w:ascii="仿宋_GB2312" w:hAnsi="仿宋_GB2312" w:eastAsia="仿宋_GB2312"/>
          <w:b/>
          <w:bCs/>
          <w:color w:val="000000"/>
          <w:sz w:val="32"/>
          <w:szCs w:val="32"/>
          <w:u w:val="single"/>
        </w:rPr>
        <w:t>柳州市生态环境</w:t>
      </w:r>
      <w:r>
        <w:rPr>
          <w:rFonts w:hint="eastAsia" w:ascii="仿宋_GB2312" w:hAnsi="仿宋_GB2312" w:eastAsia="仿宋_GB2312"/>
          <w:b/>
          <w:bCs/>
          <w:color w:val="000000"/>
          <w:sz w:val="32"/>
          <w:szCs w:val="32"/>
          <w:u w:val="single"/>
        </w:rPr>
        <w:t>技术保障中心</w:t>
      </w:r>
      <w:r>
        <w:rPr>
          <w:rFonts w:ascii="仿宋_GB2312" w:hAnsi="仿宋_GB2312" w:eastAsia="仿宋_GB2312"/>
          <w:b/>
          <w:sz w:val="32"/>
          <w:szCs w:val="32"/>
        </w:rPr>
        <w:t>2020年度决算情况说明</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w:t>
      </w:r>
      <w:r>
        <w:rPr>
          <w:rFonts w:eastAsia="仿宋_GB2312"/>
          <w:kern w:val="0"/>
          <w:sz w:val="32"/>
          <w:szCs w:val="32"/>
        </w:rPr>
        <w:t>2020</w:t>
      </w:r>
      <w:r>
        <w:rPr>
          <w:rFonts w:ascii="仿宋_GB2312" w:hAnsi="仿宋_GB2312" w:eastAsia="仿宋_GB2312" w:cs="仿宋_GB2312"/>
          <w:kern w:val="0"/>
          <w:sz w:val="32"/>
          <w:szCs w:val="32"/>
        </w:rPr>
        <w:t>年度收入支出决算总体情况。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二、</w:t>
      </w:r>
      <w:r>
        <w:rPr>
          <w:rFonts w:eastAsia="仿宋_GB2312"/>
          <w:kern w:val="0"/>
          <w:sz w:val="32"/>
          <w:szCs w:val="32"/>
        </w:rPr>
        <w:t>2020</w:t>
      </w:r>
      <w:r>
        <w:rPr>
          <w:rFonts w:ascii="仿宋_GB2312" w:hAnsi="仿宋_GB2312" w:eastAsia="仿宋_GB2312" w:cs="仿宋_GB2312"/>
          <w:kern w:val="0"/>
          <w:sz w:val="32"/>
          <w:szCs w:val="32"/>
        </w:rPr>
        <w:t>年度收入决算情况。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三、</w:t>
      </w:r>
      <w:r>
        <w:rPr>
          <w:rFonts w:eastAsia="仿宋_GB2312"/>
          <w:kern w:val="0"/>
          <w:sz w:val="32"/>
          <w:szCs w:val="32"/>
        </w:rPr>
        <w:t>2020</w:t>
      </w:r>
      <w:r>
        <w:rPr>
          <w:rFonts w:ascii="仿宋_GB2312" w:hAnsi="仿宋_GB2312" w:eastAsia="仿宋_GB2312" w:cs="仿宋_GB2312"/>
          <w:kern w:val="0"/>
          <w:sz w:val="32"/>
          <w:szCs w:val="32"/>
        </w:rPr>
        <w:t>年度支出决算情况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四、</w:t>
      </w:r>
      <w:r>
        <w:rPr>
          <w:rFonts w:eastAsia="仿宋_GB2312"/>
          <w:kern w:val="0"/>
          <w:sz w:val="32"/>
          <w:szCs w:val="32"/>
        </w:rPr>
        <w:t>2020</w:t>
      </w:r>
      <w:r>
        <w:rPr>
          <w:rFonts w:ascii="仿宋_GB2312" w:hAnsi="仿宋_GB2312" w:eastAsia="仿宋_GB2312" w:cs="仿宋_GB2312"/>
          <w:kern w:val="0"/>
          <w:sz w:val="32"/>
          <w:szCs w:val="32"/>
        </w:rPr>
        <w:t>年度财政拨款收入支出决算情况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五、</w:t>
      </w:r>
      <w:r>
        <w:rPr>
          <w:rFonts w:eastAsia="仿宋_GB2312"/>
          <w:kern w:val="0"/>
          <w:sz w:val="32"/>
          <w:szCs w:val="32"/>
        </w:rPr>
        <w:t>2020</w:t>
      </w:r>
      <w:r>
        <w:rPr>
          <w:rFonts w:ascii="仿宋_GB2312" w:hAnsi="仿宋_GB2312" w:eastAsia="仿宋_GB2312" w:cs="仿宋_GB2312"/>
          <w:kern w:val="0"/>
          <w:sz w:val="32"/>
          <w:szCs w:val="32"/>
        </w:rPr>
        <w:t>年度一般公共预算财政拨款支出决算情况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六、</w:t>
      </w:r>
      <w:r>
        <w:rPr>
          <w:rFonts w:eastAsia="仿宋_GB2312"/>
          <w:kern w:val="0"/>
          <w:sz w:val="32"/>
          <w:szCs w:val="32"/>
        </w:rPr>
        <w:t>2020</w:t>
      </w:r>
      <w:r>
        <w:rPr>
          <w:rFonts w:ascii="仿宋_GB2312" w:hAnsi="仿宋_GB2312" w:eastAsia="仿宋_GB2312" w:cs="仿宋_GB2312"/>
          <w:kern w:val="0"/>
          <w:sz w:val="32"/>
          <w:szCs w:val="32"/>
        </w:rPr>
        <w:t>年度一般公共预算财政拨款基本支出决算情况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七、</w:t>
      </w:r>
      <w:r>
        <w:rPr>
          <w:rFonts w:eastAsia="仿宋_GB2312"/>
          <w:kern w:val="0"/>
          <w:sz w:val="32"/>
          <w:szCs w:val="32"/>
        </w:rPr>
        <w:t>2020</w:t>
      </w:r>
      <w:r>
        <w:rPr>
          <w:rFonts w:ascii="仿宋_GB2312" w:hAnsi="仿宋_GB2312" w:eastAsia="仿宋_GB2312" w:cs="仿宋_GB2312"/>
          <w:kern w:val="0"/>
          <w:sz w:val="32"/>
          <w:szCs w:val="32"/>
        </w:rPr>
        <w:t>年度一般公共预算财政拨款“三公”经费支出决算情况</w:t>
      </w:r>
    </w:p>
    <w:p>
      <w:pPr>
        <w:pStyle w:val="5"/>
        <w:autoSpaceDE w:val="0"/>
        <w:autoSpaceDN w:val="0"/>
        <w:jc w:val="left"/>
        <w:rPr>
          <w:rFonts w:ascii="仿宋_GB2312" w:hAnsi="仿宋_GB2312" w:eastAsia="仿宋_GB2312" w:cs="仿宋_GB2312"/>
          <w:bCs/>
          <w:kern w:val="0"/>
          <w:sz w:val="32"/>
          <w:szCs w:val="32"/>
        </w:rPr>
      </w:pPr>
      <w:r>
        <w:rPr>
          <w:rFonts w:ascii="仿宋_GB2312" w:hAnsi="仿宋_GB2312" w:eastAsia="仿宋_GB2312" w:cs="仿宋_GB2312"/>
          <w:kern w:val="0"/>
          <w:sz w:val="32"/>
          <w:szCs w:val="32"/>
        </w:rPr>
        <w:t>八、</w:t>
      </w:r>
      <w:r>
        <w:rPr>
          <w:rFonts w:eastAsia="仿宋_GB2312"/>
          <w:kern w:val="0"/>
          <w:sz w:val="32"/>
          <w:szCs w:val="32"/>
        </w:rPr>
        <w:t>2020</w:t>
      </w:r>
      <w:r>
        <w:rPr>
          <w:rFonts w:ascii="仿宋_GB2312" w:hAnsi="仿宋_GB2312" w:eastAsia="仿宋_GB2312" w:cs="仿宋_GB2312"/>
          <w:bCs/>
          <w:kern w:val="0"/>
          <w:sz w:val="32"/>
          <w:szCs w:val="32"/>
        </w:rPr>
        <w:t>年度政府性基金预算财政拨款收入支出决算情况</w:t>
      </w:r>
    </w:p>
    <w:p>
      <w:pPr>
        <w:pStyle w:val="5"/>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九、</w:t>
      </w:r>
      <w:r>
        <w:rPr>
          <w:rFonts w:ascii="仿宋_GB2312" w:hAnsi="仿宋_GB2312" w:eastAsia="仿宋_GB2312"/>
          <w:sz w:val="32"/>
          <w:szCs w:val="32"/>
        </w:rPr>
        <w:t>国有资本经营预算财政拨款支出决算情况</w:t>
      </w:r>
    </w:p>
    <w:p>
      <w:pPr>
        <w:pStyle w:val="5"/>
        <w:autoSpaceDE w:val="0"/>
        <w:autoSpaceDN w:val="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十、</w:t>
      </w:r>
      <w:r>
        <w:rPr>
          <w:rFonts w:eastAsia="仿宋_GB2312"/>
          <w:kern w:val="0"/>
          <w:sz w:val="32"/>
          <w:szCs w:val="32"/>
        </w:rPr>
        <w:t>2020</w:t>
      </w:r>
      <w:r>
        <w:rPr>
          <w:rFonts w:ascii="仿宋_GB2312" w:hAnsi="仿宋_GB2312" w:eastAsia="仿宋_GB2312" w:cs="仿宋_GB2312"/>
          <w:bCs/>
          <w:kern w:val="0"/>
          <w:sz w:val="32"/>
          <w:szCs w:val="32"/>
        </w:rPr>
        <w:t>年度预算绩效情况说明</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bCs/>
          <w:kern w:val="0"/>
          <w:sz w:val="32"/>
          <w:szCs w:val="32"/>
        </w:rPr>
        <w:t>十一、其他重要事项的情况说明</w:t>
      </w:r>
    </w:p>
    <w:p>
      <w:pPr>
        <w:pStyle w:val="5"/>
        <w:rPr>
          <w:rFonts w:ascii="仿宋_GB2312" w:hAnsi="仿宋_GB2312" w:eastAsia="仿宋_GB2312"/>
          <w:b/>
          <w:sz w:val="32"/>
          <w:szCs w:val="32"/>
        </w:rPr>
      </w:pPr>
      <w:r>
        <w:rPr>
          <w:rFonts w:ascii="仿宋_GB2312" w:hAnsi="仿宋_GB2312" w:eastAsia="仿宋_GB2312"/>
          <w:b/>
          <w:sz w:val="32"/>
          <w:szCs w:val="32"/>
        </w:rPr>
        <w:t>第四部分：名词解释</w:t>
      </w:r>
      <w:r>
        <w:br w:type="page"/>
      </w:r>
    </w:p>
    <w:p>
      <w:pPr>
        <w:pStyle w:val="5"/>
        <w:ind w:firstLine="646"/>
        <w:jc w:val="center"/>
        <w:rPr>
          <w:rFonts w:ascii="仿宋_GB2312" w:hAnsi="仿宋_GB2312" w:eastAsia="仿宋_GB2312"/>
          <w:b/>
          <w:sz w:val="32"/>
          <w:szCs w:val="32"/>
        </w:rPr>
      </w:pPr>
      <w:r>
        <w:rPr>
          <w:rFonts w:ascii="仿宋_GB2312" w:hAnsi="仿宋_GB2312" w:eastAsia="仿宋_GB2312"/>
          <w:b/>
          <w:sz w:val="32"/>
          <w:szCs w:val="32"/>
        </w:rPr>
        <w:t>第一部分：柳州市生态环境</w:t>
      </w:r>
      <w:r>
        <w:rPr>
          <w:rFonts w:hint="eastAsia" w:ascii="仿宋_GB2312" w:hAnsi="仿宋_GB2312" w:eastAsia="仿宋_GB2312"/>
          <w:b/>
          <w:sz w:val="32"/>
          <w:szCs w:val="32"/>
        </w:rPr>
        <w:t>技术保障中心</w:t>
      </w:r>
      <w:r>
        <w:rPr>
          <w:rFonts w:ascii="仿宋_GB2312" w:hAnsi="仿宋_GB2312" w:eastAsia="仿宋_GB2312"/>
          <w:b/>
          <w:sz w:val="32"/>
          <w:szCs w:val="32"/>
        </w:rPr>
        <w:t>概况</w:t>
      </w:r>
    </w:p>
    <w:p>
      <w:pPr>
        <w:pStyle w:val="2"/>
        <w:spacing w:beforeAutospacing="0" w:afterAutospacing="0" w:line="560" w:lineRule="exact"/>
        <w:ind w:firstLine="643" w:firstLineChars="200"/>
        <w:jc w:val="both"/>
        <w:rPr>
          <w:rFonts w:ascii="黑体" w:hAnsi="黑体" w:eastAsia="黑体" w:cs="黑体"/>
          <w:b/>
          <w:bCs/>
          <w:color w:val="000000"/>
          <w:sz w:val="32"/>
          <w:szCs w:val="32"/>
        </w:rPr>
      </w:pPr>
      <w:r>
        <w:rPr>
          <w:rFonts w:hint="eastAsia" w:ascii="黑体" w:hAnsi="黑体" w:eastAsia="黑体" w:cs="黑体"/>
          <w:b/>
          <w:bCs/>
          <w:color w:val="000000"/>
          <w:sz w:val="32"/>
          <w:szCs w:val="32"/>
        </w:rPr>
        <w:t>一、主要职责</w:t>
      </w:r>
    </w:p>
    <w:p>
      <w:pPr>
        <w:pStyle w:val="2"/>
        <w:spacing w:beforeAutospacing="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（一）负责对社会公众开展生态环境科普教育，推动社会参与环境保护。</w:t>
      </w:r>
    </w:p>
    <w:p>
      <w:pPr>
        <w:pStyle w:val="2"/>
        <w:spacing w:beforeAutospacing="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（二）负责策划和实施各类生态环境保护宣传活动，对重大环保活动进行宣传报道。</w:t>
      </w:r>
    </w:p>
    <w:p>
      <w:pPr>
        <w:pStyle w:val="2"/>
        <w:spacing w:beforeAutospacing="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（三）负责编制全市环境状况公报，组织生态环境保护相关的网络舆情处置。</w:t>
      </w:r>
    </w:p>
    <w:p>
      <w:pPr>
        <w:pStyle w:val="2"/>
        <w:spacing w:beforeAutospacing="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（四）负责固体废物管理的事务性和技术性工作，协助开展固体废物污染防治和综合利用的技术研究、推广应用。</w:t>
      </w:r>
    </w:p>
    <w:p>
      <w:pPr>
        <w:pStyle w:val="2"/>
        <w:spacing w:beforeAutospacing="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 xml:space="preserve">（五）负责主管部门信息化的日常维护和网络安全保障工作，为主管部门信息数据库建设等信息化工作提供技术支持。 </w:t>
      </w:r>
    </w:p>
    <w:p>
      <w:pPr>
        <w:pStyle w:val="2"/>
        <w:spacing w:beforeAutospacing="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（六）负责为机动车尾气污染防治提供技术支持，协助开展机动车和非道路移动机械的污染防治研究以及清洁机动车的推广应用工作。</w:t>
      </w:r>
    </w:p>
    <w:p>
      <w:pPr>
        <w:pStyle w:val="2"/>
        <w:spacing w:beforeAutospacing="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（七）负责区域生态环境的规划研究，组织开展生态环境保护科技项目、标准、科技成果的申报工作。</w:t>
      </w:r>
    </w:p>
    <w:p>
      <w:pPr>
        <w:pStyle w:val="2"/>
        <w:spacing w:beforeAutospacing="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（八）负责为生态环境保护区域的合作与交流、基础环境科研、环境监测以及辐射安全管理提供技术支持。</w:t>
      </w:r>
    </w:p>
    <w:p>
      <w:pPr>
        <w:pStyle w:val="2"/>
        <w:spacing w:beforeAutospacing="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（九）协助管理辖区内从事生态环境监测和环境影响评价的机构和人员。</w:t>
      </w:r>
    </w:p>
    <w:p>
      <w:pPr>
        <w:pStyle w:val="2"/>
        <w:spacing w:beforeAutospacing="0" w:afterAutospacing="0" w:line="56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（十）完成主管部门交办的其他任务。</w:t>
      </w:r>
    </w:p>
    <w:p>
      <w:pPr>
        <w:pStyle w:val="2"/>
        <w:spacing w:beforeAutospacing="0" w:afterAutospacing="0" w:line="560" w:lineRule="exact"/>
        <w:ind w:firstLine="643" w:firstLineChars="200"/>
        <w:rPr>
          <w:rFonts w:ascii="黑体" w:hAnsi="黑体" w:eastAsia="黑体" w:cs="黑体"/>
          <w:b/>
          <w:bCs/>
          <w:color w:val="000000"/>
          <w:sz w:val="32"/>
          <w:szCs w:val="32"/>
        </w:rPr>
      </w:pPr>
      <w:r>
        <w:rPr>
          <w:rFonts w:hint="eastAsia" w:ascii="黑体" w:hAnsi="黑体" w:eastAsia="黑体" w:cs="黑体"/>
          <w:b/>
          <w:bCs/>
          <w:color w:val="000000"/>
          <w:sz w:val="32"/>
          <w:szCs w:val="32"/>
        </w:rPr>
        <w:t>二、机构设置情况</w:t>
      </w:r>
    </w:p>
    <w:p>
      <w:pPr>
        <w:adjustRightInd w:val="0"/>
        <w:snapToGrid w:val="0"/>
        <w:spacing w:line="560" w:lineRule="exact"/>
        <w:ind w:right="-208" w:rightChars="-104" w:firstLine="640" w:firstLineChars="200"/>
        <w:rPr>
          <w:rFonts w:ascii="仿宋_GB2312" w:hAnsi="华文仿宋" w:eastAsia="仿宋_GB2312"/>
          <w:sz w:val="32"/>
          <w:szCs w:val="32"/>
        </w:rPr>
      </w:pPr>
      <w:r>
        <w:rPr>
          <w:rFonts w:hint="eastAsia" w:ascii="仿宋_GB2312" w:hAnsi="华文仿宋" w:eastAsia="仿宋_GB2312"/>
          <w:sz w:val="32"/>
          <w:szCs w:val="32"/>
        </w:rPr>
        <w:t>根据《柳州市本级事业单位规范调整工作方案》（柳编[2019]75号）文件精神，将柳州市环境保护科学研究所、柳州市环境保护宣传教育信息中心整合成立柳州市生态环境技术保障中心，为柳州市生态环境局管理的正科级公益一类全额拨款事业单位。编制人数68人、实有在职人数26人、退休人数8人、保留车辆数3辆，现有车辆2辆。</w:t>
      </w:r>
    </w:p>
    <w:p>
      <w:pPr>
        <w:adjustRightInd w:val="0"/>
        <w:snapToGrid w:val="0"/>
        <w:spacing w:line="560" w:lineRule="exact"/>
        <w:ind w:right="-208" w:rightChars="-104" w:firstLine="640" w:firstLineChars="200"/>
        <w:rPr>
          <w:rFonts w:ascii="仿宋_GB2312" w:hAnsi="华文仿宋" w:eastAsia="仿宋_GB2312"/>
          <w:sz w:val="32"/>
          <w:szCs w:val="32"/>
        </w:rPr>
      </w:pPr>
      <w:r>
        <w:rPr>
          <w:rFonts w:hint="eastAsia" w:ascii="仿宋_GB2312" w:hAnsi="华文仿宋" w:eastAsia="仿宋_GB2312"/>
          <w:sz w:val="32"/>
          <w:szCs w:val="32"/>
        </w:rPr>
        <w:t>柳州市生态环境技术保障中心成立后沿用柳州市环境保护宣传教育信息中心预算号，为柳州市</w:t>
      </w:r>
      <w:r>
        <w:rPr>
          <w:rFonts w:ascii="仿宋_GB2312" w:hAnsi="华文仿宋" w:eastAsia="仿宋_GB2312"/>
          <w:sz w:val="32"/>
          <w:szCs w:val="32"/>
        </w:rPr>
        <w:t>生态</w:t>
      </w:r>
      <w:r>
        <w:rPr>
          <w:rFonts w:hint="eastAsia" w:ascii="仿宋_GB2312" w:hAnsi="华文仿宋" w:eastAsia="仿宋_GB2312"/>
          <w:sz w:val="32"/>
          <w:szCs w:val="32"/>
        </w:rPr>
        <w:t>环境局</w:t>
      </w:r>
      <w:r>
        <w:rPr>
          <w:rFonts w:ascii="仿宋_GB2312" w:hAnsi="华文仿宋" w:eastAsia="仿宋_GB2312"/>
          <w:sz w:val="32"/>
          <w:szCs w:val="32"/>
        </w:rPr>
        <w:t>主管的二级预算单位。</w:t>
      </w:r>
    </w:p>
    <w:p>
      <w:pPr>
        <w:pStyle w:val="5"/>
        <w:rPr>
          <w:rFonts w:ascii="仿宋_GB2312" w:hAnsi="仿宋_GB2312" w:eastAsia="仿宋_GB2312"/>
          <w:sz w:val="32"/>
          <w:szCs w:val="32"/>
        </w:rPr>
      </w:pPr>
    </w:p>
    <w:p>
      <w:pPr>
        <w:pStyle w:val="5"/>
        <w:rPr>
          <w:rFonts w:ascii="仿宋_GB2312" w:hAnsi="仿宋_GB2312" w:eastAsia="仿宋_GB2312"/>
          <w:b/>
          <w:sz w:val="32"/>
          <w:szCs w:val="32"/>
        </w:rPr>
      </w:pPr>
    </w:p>
    <w:p>
      <w:pPr>
        <w:pStyle w:val="5"/>
        <w:rPr>
          <w:rFonts w:ascii="仿宋_GB2312" w:hAnsi="仿宋_GB2312" w:eastAsia="仿宋_GB2312"/>
          <w:b/>
          <w:sz w:val="32"/>
          <w:szCs w:val="32"/>
        </w:rPr>
      </w:pPr>
      <w:r>
        <w:rPr>
          <w:rFonts w:ascii="仿宋_GB2312" w:hAnsi="仿宋_GB2312" w:eastAsia="仿宋_GB2312"/>
          <w:b/>
          <w:sz w:val="32"/>
          <w:szCs w:val="32"/>
        </w:rPr>
        <w:t>第二部分：</w:t>
      </w:r>
      <w:r>
        <w:rPr>
          <w:rFonts w:ascii="仿宋_GB2312" w:hAnsi="仿宋_GB2312" w:eastAsia="仿宋_GB2312"/>
          <w:b/>
          <w:bCs/>
          <w:color w:val="000000"/>
          <w:sz w:val="32"/>
          <w:szCs w:val="32"/>
        </w:rPr>
        <w:t>柳州市生态环境</w:t>
      </w:r>
      <w:r>
        <w:rPr>
          <w:rFonts w:hint="eastAsia" w:ascii="仿宋_GB2312" w:hAnsi="仿宋_GB2312" w:eastAsia="仿宋_GB2312"/>
          <w:b/>
          <w:bCs/>
          <w:color w:val="000000"/>
          <w:sz w:val="32"/>
          <w:szCs w:val="32"/>
        </w:rPr>
        <w:t>技术保障中心</w:t>
      </w:r>
      <w:r>
        <w:rPr>
          <w:rFonts w:ascii="仿宋_GB2312" w:hAnsi="仿宋_GB2312" w:eastAsia="仿宋_GB2312"/>
          <w:b/>
          <w:sz w:val="32"/>
          <w:szCs w:val="32"/>
        </w:rPr>
        <w:t xml:space="preserve"> 2020年决算报表</w:t>
      </w:r>
    </w:p>
    <w:p>
      <w:pPr>
        <w:pStyle w:val="5"/>
      </w:pPr>
    </w:p>
    <w:tbl>
      <w:tblPr>
        <w:tblStyle w:val="3"/>
        <w:tblW w:w="8879" w:type="dxa"/>
        <w:jc w:val="center"/>
        <w:tblLayout w:type="fixed"/>
        <w:tblCellMar>
          <w:top w:w="0" w:type="dxa"/>
          <w:left w:w="108" w:type="dxa"/>
          <w:bottom w:w="0" w:type="dxa"/>
          <w:right w:w="108" w:type="dxa"/>
        </w:tblCellMar>
      </w:tblPr>
      <w:tblGrid>
        <w:gridCol w:w="2870"/>
        <w:gridCol w:w="1436"/>
        <w:gridCol w:w="2798"/>
        <w:gridCol w:w="1775"/>
      </w:tblGrid>
      <w:tr>
        <w:tblPrEx>
          <w:tblCellMar>
            <w:top w:w="0" w:type="dxa"/>
            <w:left w:w="108" w:type="dxa"/>
            <w:bottom w:w="0" w:type="dxa"/>
            <w:right w:w="108" w:type="dxa"/>
          </w:tblCellMar>
        </w:tblPrEx>
        <w:trPr>
          <w:trHeight w:val="570" w:hRule="atLeast"/>
          <w:jc w:val="center"/>
        </w:trPr>
        <w:tc>
          <w:tcPr>
            <w:tcW w:w="8879" w:type="dxa"/>
            <w:gridSpan w:val="4"/>
            <w:vAlign w:val="bottom"/>
          </w:tcPr>
          <w:p>
            <w:pPr>
              <w:pStyle w:val="5"/>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lang w:bidi="hi-IN"/>
              </w:rPr>
              <w:t>表一：收入支出决算总表</w:t>
            </w:r>
          </w:p>
          <w:p>
            <w:pPr>
              <w:pStyle w:val="5"/>
              <w:jc w:val="right"/>
              <w:rPr>
                <w:rFonts w:ascii="宋体" w:hAnsi="宋体" w:cs="宋体"/>
                <w:kern w:val="0"/>
                <w:sz w:val="22"/>
                <w:szCs w:val="22"/>
              </w:rPr>
            </w:pPr>
            <w:r>
              <w:rPr>
                <w:rFonts w:ascii="宋体" w:hAnsi="宋体" w:cs="宋体"/>
                <w:kern w:val="0"/>
                <w:sz w:val="22"/>
                <w:szCs w:val="22"/>
                <w:lang w:bidi="hi-IN"/>
              </w:rPr>
              <w:t>单位：万元</w:t>
            </w:r>
          </w:p>
        </w:tc>
      </w:tr>
      <w:tr>
        <w:tblPrEx>
          <w:tblCellMar>
            <w:top w:w="0" w:type="dxa"/>
            <w:left w:w="108" w:type="dxa"/>
            <w:bottom w:w="0" w:type="dxa"/>
            <w:right w:w="108" w:type="dxa"/>
          </w:tblCellMar>
        </w:tblPrEx>
        <w:trPr>
          <w:trHeight w:val="270" w:hRule="atLeast"/>
          <w:jc w:val="center"/>
        </w:trPr>
        <w:tc>
          <w:tcPr>
            <w:tcW w:w="4306" w:type="dxa"/>
            <w:gridSpan w:val="2"/>
            <w:tcBorders>
              <w:top w:val="single" w:color="000000" w:sz="4" w:space="0"/>
              <w:left w:val="single" w:color="000000" w:sz="4" w:space="0"/>
              <w:bottom w:val="single" w:color="000000" w:sz="4" w:space="0"/>
              <w:right w:val="single" w:color="000000" w:sz="4" w:space="0"/>
            </w:tcBorders>
            <w:vAlign w:val="center"/>
          </w:tcPr>
          <w:p>
            <w:pPr>
              <w:pStyle w:val="5"/>
              <w:ind w:firstLine="400"/>
              <w:jc w:val="center"/>
              <w:rPr>
                <w:rFonts w:ascii="宋体" w:hAnsi="宋体" w:cs="宋体"/>
                <w:color w:val="000000"/>
                <w:kern w:val="0"/>
                <w:sz w:val="24"/>
              </w:rPr>
            </w:pPr>
            <w:r>
              <w:rPr>
                <w:rFonts w:ascii="宋体" w:hAnsi="宋体" w:cs="宋体"/>
                <w:color w:val="000000"/>
                <w:kern w:val="0"/>
                <w:sz w:val="24"/>
                <w:lang w:bidi="hi-IN"/>
              </w:rPr>
              <w:t>收    入</w:t>
            </w:r>
          </w:p>
        </w:tc>
        <w:tc>
          <w:tcPr>
            <w:tcW w:w="4573" w:type="dxa"/>
            <w:gridSpan w:val="2"/>
            <w:tcBorders>
              <w:top w:val="single" w:color="000000" w:sz="4" w:space="0"/>
              <w:bottom w:val="single" w:color="000000" w:sz="4" w:space="0"/>
              <w:right w:val="single" w:color="000000" w:sz="4" w:space="0"/>
            </w:tcBorders>
            <w:vAlign w:val="center"/>
          </w:tcPr>
          <w:p>
            <w:pPr>
              <w:pStyle w:val="5"/>
              <w:jc w:val="center"/>
              <w:rPr>
                <w:rFonts w:ascii="宋体" w:hAnsi="宋体" w:cs="宋体"/>
                <w:color w:val="000000"/>
                <w:kern w:val="0"/>
                <w:sz w:val="24"/>
              </w:rPr>
            </w:pPr>
            <w:r>
              <w:rPr>
                <w:rFonts w:ascii="宋体" w:hAnsi="宋体" w:cs="宋体"/>
                <w:color w:val="000000"/>
                <w:kern w:val="0"/>
                <w:sz w:val="24"/>
                <w:lang w:bidi="hi-IN"/>
              </w:rPr>
              <w:t>支    出</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center"/>
              <w:rPr>
                <w:rFonts w:ascii="宋体" w:hAnsi="宋体" w:cs="宋体"/>
                <w:color w:val="000000"/>
                <w:kern w:val="0"/>
                <w:sz w:val="24"/>
              </w:rPr>
            </w:pPr>
            <w:r>
              <w:rPr>
                <w:rFonts w:ascii="宋体" w:hAnsi="宋体" w:cs="宋体"/>
                <w:color w:val="000000"/>
                <w:kern w:val="0"/>
                <w:sz w:val="24"/>
                <w:lang w:bidi="hi-IN"/>
              </w:rPr>
              <w:t>项目</w:t>
            </w:r>
          </w:p>
        </w:tc>
        <w:tc>
          <w:tcPr>
            <w:tcW w:w="1436" w:type="dxa"/>
            <w:tcBorders>
              <w:bottom w:val="single" w:color="000000" w:sz="4" w:space="0"/>
              <w:right w:val="single" w:color="000000" w:sz="4" w:space="0"/>
            </w:tcBorders>
            <w:vAlign w:val="center"/>
          </w:tcPr>
          <w:p>
            <w:pPr>
              <w:pStyle w:val="5"/>
              <w:jc w:val="center"/>
              <w:rPr>
                <w:rFonts w:ascii="宋体" w:hAnsi="宋体" w:cs="宋体"/>
                <w:color w:val="000000"/>
                <w:kern w:val="0"/>
                <w:sz w:val="24"/>
              </w:rPr>
            </w:pPr>
            <w:r>
              <w:rPr>
                <w:rFonts w:ascii="宋体" w:hAnsi="宋体" w:cs="宋体"/>
                <w:color w:val="000000"/>
                <w:kern w:val="0"/>
                <w:sz w:val="24"/>
                <w:lang w:bidi="hi-IN"/>
              </w:rPr>
              <w:t>决算数</w:t>
            </w:r>
          </w:p>
        </w:tc>
        <w:tc>
          <w:tcPr>
            <w:tcW w:w="2798" w:type="dxa"/>
            <w:tcBorders>
              <w:bottom w:val="single" w:color="000000" w:sz="4" w:space="0"/>
              <w:right w:val="single" w:color="000000" w:sz="4" w:space="0"/>
            </w:tcBorders>
            <w:vAlign w:val="center"/>
          </w:tcPr>
          <w:p>
            <w:pPr>
              <w:pStyle w:val="5"/>
              <w:jc w:val="center"/>
              <w:rPr>
                <w:rFonts w:ascii="宋体" w:hAnsi="宋体" w:cs="宋体"/>
                <w:color w:val="000000"/>
                <w:kern w:val="0"/>
                <w:sz w:val="24"/>
              </w:rPr>
            </w:pPr>
            <w:r>
              <w:rPr>
                <w:rFonts w:ascii="宋体" w:hAnsi="宋体" w:cs="宋体"/>
                <w:color w:val="000000"/>
                <w:kern w:val="0"/>
                <w:sz w:val="24"/>
                <w:lang w:bidi="hi-IN"/>
              </w:rPr>
              <w:t>项目</w:t>
            </w:r>
          </w:p>
        </w:tc>
        <w:tc>
          <w:tcPr>
            <w:tcW w:w="1775" w:type="dxa"/>
            <w:tcBorders>
              <w:bottom w:val="single" w:color="000000" w:sz="4" w:space="0"/>
              <w:right w:val="single" w:color="000000" w:sz="4" w:space="0"/>
            </w:tcBorders>
            <w:vAlign w:val="center"/>
          </w:tcPr>
          <w:p>
            <w:pPr>
              <w:pStyle w:val="5"/>
              <w:jc w:val="center"/>
              <w:rPr>
                <w:rFonts w:ascii="宋体" w:hAnsi="宋体" w:cs="宋体"/>
                <w:color w:val="000000"/>
                <w:kern w:val="0"/>
                <w:sz w:val="24"/>
              </w:rPr>
            </w:pPr>
            <w:r>
              <w:rPr>
                <w:rFonts w:ascii="宋体" w:hAnsi="宋体" w:cs="宋体"/>
                <w:color w:val="000000"/>
                <w:kern w:val="0"/>
                <w:sz w:val="24"/>
                <w:lang w:bidi="hi-IN"/>
              </w:rPr>
              <w:t>决算数</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一、一般公共预算财政拨款收入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hint="eastAsia" w:ascii="宋体" w:hAnsi="宋体" w:cs="宋体"/>
                <w:color w:val="000000"/>
                <w:kern w:val="0"/>
                <w:sz w:val="24"/>
              </w:rPr>
              <w:t>427.39</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一、一般公共服务支出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二、政府性基金预算财政拨款收入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二、外交支出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三、上级补助收入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三、教育支出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r>
      <w:tr>
        <w:tblPrEx>
          <w:tblCellMar>
            <w:top w:w="0" w:type="dxa"/>
            <w:left w:w="108" w:type="dxa"/>
            <w:bottom w:w="0" w:type="dxa"/>
            <w:right w:w="108" w:type="dxa"/>
          </w:tblCellMar>
        </w:tblPrEx>
        <w:trPr>
          <w:trHeight w:val="35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四、事业收入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四、科学技术支出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r>
      <w:tr>
        <w:tblPrEx>
          <w:tblCellMar>
            <w:top w:w="0" w:type="dxa"/>
            <w:left w:w="108" w:type="dxa"/>
            <w:bottom w:w="0" w:type="dxa"/>
            <w:right w:w="108" w:type="dxa"/>
          </w:tblCellMar>
        </w:tblPrEx>
        <w:trPr>
          <w:trHeight w:val="9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五、经营收入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五、文化旅游体育与传媒支出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六、附属单位上缴收入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六、社会保障和就业支出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hint="eastAsia" w:ascii="宋体" w:hAnsi="宋体" w:cs="宋体"/>
                <w:color w:val="000000"/>
                <w:kern w:val="0"/>
                <w:sz w:val="24"/>
                <w:lang w:bidi="hi-IN"/>
              </w:rPr>
              <w:t>29.41</w:t>
            </w:r>
            <w:r>
              <w:rPr>
                <w:rFonts w:ascii="宋体" w:hAnsi="宋体" w:cs="宋体"/>
                <w:color w:val="000000"/>
                <w:kern w:val="0"/>
                <w:sz w:val="24"/>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七、其他收入</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r>
              <w:rPr>
                <w:rFonts w:hint="eastAsia" w:ascii="宋体" w:hAnsi="宋体" w:cs="宋体"/>
                <w:color w:val="000000"/>
                <w:kern w:val="0"/>
                <w:sz w:val="24"/>
                <w:lang w:bidi="hi-IN"/>
              </w:rPr>
              <w:t>0.22</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七、卫生健康支出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hint="eastAsia" w:ascii="宋体" w:hAnsi="宋体" w:cs="宋体"/>
                <w:color w:val="000000"/>
                <w:kern w:val="0"/>
                <w:sz w:val="24"/>
                <w:lang w:bidi="hi-IN"/>
              </w:rPr>
              <w:t>9.89</w:t>
            </w:r>
            <w:r>
              <w:rPr>
                <w:rFonts w:ascii="宋体" w:hAnsi="宋体" w:cs="宋体"/>
                <w:color w:val="000000"/>
                <w:kern w:val="0"/>
                <w:sz w:val="24"/>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八、节能环保支出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hint="eastAsia" w:ascii="宋体" w:hAnsi="宋体" w:cs="宋体"/>
                <w:color w:val="000000"/>
                <w:kern w:val="0"/>
                <w:sz w:val="24"/>
              </w:rPr>
              <w:t>423.30</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九、城乡社区支出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十、资源勘探信息等支出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十一、住房保障支出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hint="eastAsia" w:ascii="宋体" w:hAnsi="宋体" w:cs="宋体"/>
                <w:color w:val="000000"/>
                <w:kern w:val="0"/>
                <w:sz w:val="24"/>
              </w:rPr>
              <w:t>15.69</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十二、其他支出</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　</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center"/>
              <w:rPr>
                <w:rFonts w:ascii="宋体" w:hAnsi="宋体" w:cs="宋体"/>
                <w:b/>
                <w:color w:val="000000"/>
                <w:kern w:val="0"/>
                <w:sz w:val="24"/>
              </w:rPr>
            </w:pPr>
            <w:r>
              <w:rPr>
                <w:rFonts w:ascii="宋体" w:hAnsi="宋体" w:cs="宋体"/>
                <w:b/>
                <w:color w:val="000000"/>
                <w:kern w:val="0"/>
                <w:sz w:val="24"/>
                <w:lang w:bidi="hi-IN"/>
              </w:rPr>
              <w:t>本年收入合计</w:t>
            </w:r>
          </w:p>
        </w:tc>
        <w:tc>
          <w:tcPr>
            <w:tcW w:w="1436" w:type="dxa"/>
            <w:tcBorders>
              <w:bottom w:val="single" w:color="000000" w:sz="4" w:space="0"/>
              <w:right w:val="single" w:color="000000" w:sz="4" w:space="0"/>
            </w:tcBorders>
            <w:vAlign w:val="center"/>
          </w:tcPr>
          <w:p>
            <w:pPr>
              <w:pStyle w:val="5"/>
              <w:jc w:val="right"/>
              <w:rPr>
                <w:rFonts w:ascii="宋体" w:hAnsi="宋体" w:cs="宋体"/>
                <w:b/>
                <w:color w:val="000000"/>
                <w:kern w:val="0"/>
                <w:sz w:val="24"/>
              </w:rPr>
            </w:pPr>
            <w:r>
              <w:rPr>
                <w:rFonts w:hint="eastAsia" w:ascii="宋体" w:hAnsi="宋体" w:cs="宋体"/>
                <w:b/>
                <w:color w:val="000000"/>
                <w:kern w:val="0"/>
                <w:sz w:val="24"/>
                <w:lang w:bidi="hi-IN"/>
              </w:rPr>
              <w:t>427.61</w:t>
            </w:r>
          </w:p>
        </w:tc>
        <w:tc>
          <w:tcPr>
            <w:tcW w:w="2798" w:type="dxa"/>
            <w:tcBorders>
              <w:bottom w:val="single" w:color="000000" w:sz="4" w:space="0"/>
              <w:right w:val="single" w:color="000000" w:sz="4" w:space="0"/>
            </w:tcBorders>
            <w:vAlign w:val="center"/>
          </w:tcPr>
          <w:p>
            <w:pPr>
              <w:pStyle w:val="5"/>
              <w:jc w:val="center"/>
              <w:rPr>
                <w:rFonts w:ascii="宋体" w:hAnsi="宋体" w:cs="宋体"/>
                <w:b/>
                <w:color w:val="000000"/>
                <w:kern w:val="0"/>
                <w:sz w:val="24"/>
              </w:rPr>
            </w:pPr>
            <w:r>
              <w:rPr>
                <w:rFonts w:ascii="宋体" w:hAnsi="宋体" w:cs="宋体"/>
                <w:b/>
                <w:color w:val="000000"/>
                <w:kern w:val="0"/>
                <w:sz w:val="24"/>
                <w:lang w:bidi="hi-IN"/>
              </w:rPr>
              <w:t>本年支出合计</w:t>
            </w:r>
          </w:p>
        </w:tc>
        <w:tc>
          <w:tcPr>
            <w:tcW w:w="1775" w:type="dxa"/>
            <w:tcBorders>
              <w:bottom w:val="single" w:color="000000" w:sz="4" w:space="0"/>
              <w:right w:val="single" w:color="000000" w:sz="4" w:space="0"/>
            </w:tcBorders>
            <w:vAlign w:val="center"/>
          </w:tcPr>
          <w:p>
            <w:pPr>
              <w:pStyle w:val="5"/>
              <w:jc w:val="center"/>
              <w:rPr>
                <w:rFonts w:ascii="宋体" w:hAnsi="宋体" w:cs="宋体"/>
                <w:b/>
                <w:color w:val="000000"/>
                <w:kern w:val="0"/>
                <w:sz w:val="24"/>
              </w:rPr>
            </w:pPr>
            <w:r>
              <w:rPr>
                <w:rFonts w:hint="eastAsia" w:ascii="宋体" w:hAnsi="宋体" w:cs="宋体"/>
                <w:b/>
                <w:color w:val="000000"/>
                <w:kern w:val="0"/>
                <w:sz w:val="24"/>
              </w:rPr>
              <w:t>478.29</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　用事业基金弥补收支差额</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结余分配</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　年初结转和结余</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hint="eastAsia" w:ascii="宋体" w:hAnsi="宋体" w:cs="宋体"/>
                <w:color w:val="000000"/>
                <w:kern w:val="0"/>
                <w:sz w:val="24"/>
                <w:lang w:bidi="hi-IN"/>
              </w:rPr>
              <w:t>67.7</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年末结转与结余</w:t>
            </w: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hint="eastAsia" w:ascii="宋体" w:hAnsi="宋体" w:cs="宋体"/>
                <w:color w:val="000000"/>
                <w:kern w:val="0"/>
                <w:sz w:val="24"/>
              </w:rPr>
              <w:t>17.02</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4"/>
              </w:rPr>
            </w:pPr>
            <w:r>
              <w:rPr>
                <w:rFonts w:ascii="宋体" w:hAnsi="宋体" w:cs="宋体"/>
                <w:color w:val="000000"/>
                <w:kern w:val="0"/>
                <w:sz w:val="24"/>
                <w:lang w:bidi="hi-IN"/>
              </w:rPr>
              <w:t>　</w:t>
            </w:r>
          </w:p>
        </w:tc>
        <w:tc>
          <w:tcPr>
            <w:tcW w:w="1436"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c>
          <w:tcPr>
            <w:tcW w:w="2798" w:type="dxa"/>
            <w:tcBorders>
              <w:bottom w:val="single" w:color="000000" w:sz="4" w:space="0"/>
              <w:right w:val="single" w:color="000000" w:sz="4" w:space="0"/>
            </w:tcBorders>
            <w:vAlign w:val="center"/>
          </w:tcPr>
          <w:p>
            <w:pPr>
              <w:pStyle w:val="5"/>
              <w:jc w:val="left"/>
              <w:rPr>
                <w:rFonts w:ascii="宋体" w:hAnsi="宋体" w:cs="宋体"/>
                <w:color w:val="000000"/>
                <w:kern w:val="0"/>
                <w:sz w:val="24"/>
              </w:rPr>
            </w:pPr>
          </w:p>
        </w:tc>
        <w:tc>
          <w:tcPr>
            <w:tcW w:w="1775" w:type="dxa"/>
            <w:tcBorders>
              <w:bottom w:val="single" w:color="000000" w:sz="4" w:space="0"/>
              <w:right w:val="single" w:color="000000" w:sz="4" w:space="0"/>
            </w:tcBorders>
            <w:vAlign w:val="center"/>
          </w:tcPr>
          <w:p>
            <w:pPr>
              <w:pStyle w:val="5"/>
              <w:jc w:val="right"/>
              <w:rPr>
                <w:rFonts w:ascii="宋体" w:hAnsi="宋体" w:cs="宋体"/>
                <w:color w:val="000000"/>
                <w:kern w:val="0"/>
                <w:sz w:val="24"/>
              </w:rPr>
            </w:pPr>
            <w:r>
              <w:rPr>
                <w:rFonts w:ascii="宋体" w:hAnsi="宋体" w:cs="宋体"/>
                <w:color w:val="000000"/>
                <w:kern w:val="0"/>
                <w:sz w:val="24"/>
                <w:lang w:bidi="hi-IN"/>
              </w:rPr>
              <w:t>　</w:t>
            </w:r>
          </w:p>
        </w:tc>
      </w:tr>
      <w:tr>
        <w:tblPrEx>
          <w:tblCellMar>
            <w:top w:w="0" w:type="dxa"/>
            <w:left w:w="108" w:type="dxa"/>
            <w:bottom w:w="0" w:type="dxa"/>
            <w:right w:w="108" w:type="dxa"/>
          </w:tblCellMar>
        </w:tblPrEx>
        <w:trPr>
          <w:trHeight w:val="270" w:hRule="atLeast"/>
          <w:jc w:val="center"/>
        </w:trPr>
        <w:tc>
          <w:tcPr>
            <w:tcW w:w="2870" w:type="dxa"/>
            <w:tcBorders>
              <w:left w:val="single" w:color="000000" w:sz="4" w:space="0"/>
              <w:bottom w:val="single" w:color="000000" w:sz="4" w:space="0"/>
              <w:right w:val="single" w:color="000000" w:sz="4" w:space="0"/>
            </w:tcBorders>
            <w:vAlign w:val="center"/>
          </w:tcPr>
          <w:p>
            <w:pPr>
              <w:pStyle w:val="5"/>
              <w:jc w:val="center"/>
              <w:rPr>
                <w:rFonts w:ascii="宋体" w:hAnsi="宋体" w:cs="宋体"/>
                <w:b/>
                <w:color w:val="000000"/>
                <w:kern w:val="0"/>
                <w:sz w:val="24"/>
              </w:rPr>
            </w:pPr>
            <w:r>
              <w:rPr>
                <w:rFonts w:ascii="宋体" w:hAnsi="宋体" w:cs="宋体"/>
                <w:b/>
                <w:color w:val="000000"/>
                <w:kern w:val="0"/>
                <w:sz w:val="24"/>
                <w:lang w:bidi="hi-IN"/>
              </w:rPr>
              <w:t>收入总计</w:t>
            </w:r>
          </w:p>
        </w:tc>
        <w:tc>
          <w:tcPr>
            <w:tcW w:w="1436" w:type="dxa"/>
            <w:tcBorders>
              <w:bottom w:val="single" w:color="000000" w:sz="4" w:space="0"/>
              <w:right w:val="single" w:color="000000" w:sz="4" w:space="0"/>
            </w:tcBorders>
            <w:vAlign w:val="center"/>
          </w:tcPr>
          <w:p>
            <w:pPr>
              <w:pStyle w:val="5"/>
              <w:jc w:val="right"/>
              <w:rPr>
                <w:rFonts w:ascii="宋体" w:hAnsi="宋体" w:cs="宋体"/>
                <w:b/>
                <w:color w:val="000000"/>
                <w:kern w:val="0"/>
                <w:sz w:val="24"/>
              </w:rPr>
            </w:pPr>
            <w:r>
              <w:rPr>
                <w:rFonts w:hint="eastAsia" w:ascii="宋体" w:hAnsi="宋体" w:cs="宋体"/>
                <w:b/>
                <w:color w:val="000000"/>
                <w:kern w:val="0"/>
                <w:sz w:val="24"/>
                <w:lang w:bidi="hi-IN"/>
              </w:rPr>
              <w:t>495.31</w:t>
            </w:r>
          </w:p>
        </w:tc>
        <w:tc>
          <w:tcPr>
            <w:tcW w:w="2798" w:type="dxa"/>
            <w:tcBorders>
              <w:bottom w:val="single" w:color="000000" w:sz="4" w:space="0"/>
              <w:right w:val="single" w:color="000000" w:sz="4" w:space="0"/>
            </w:tcBorders>
            <w:vAlign w:val="center"/>
          </w:tcPr>
          <w:p>
            <w:pPr>
              <w:pStyle w:val="5"/>
              <w:jc w:val="center"/>
              <w:rPr>
                <w:rFonts w:ascii="宋体" w:hAnsi="宋体" w:cs="宋体"/>
                <w:b/>
                <w:color w:val="000000"/>
                <w:kern w:val="0"/>
                <w:sz w:val="24"/>
              </w:rPr>
            </w:pPr>
            <w:r>
              <w:rPr>
                <w:rFonts w:ascii="宋体" w:hAnsi="宋体" w:cs="宋体"/>
                <w:b/>
                <w:color w:val="000000"/>
                <w:kern w:val="0"/>
                <w:sz w:val="24"/>
                <w:lang w:bidi="hi-IN"/>
              </w:rPr>
              <w:t>支出总计</w:t>
            </w:r>
          </w:p>
        </w:tc>
        <w:tc>
          <w:tcPr>
            <w:tcW w:w="1775" w:type="dxa"/>
            <w:tcBorders>
              <w:bottom w:val="single" w:color="000000" w:sz="4" w:space="0"/>
              <w:right w:val="single" w:color="000000" w:sz="4" w:space="0"/>
            </w:tcBorders>
            <w:vAlign w:val="center"/>
          </w:tcPr>
          <w:p>
            <w:pPr>
              <w:pStyle w:val="5"/>
              <w:jc w:val="right"/>
              <w:rPr>
                <w:rFonts w:ascii="宋体" w:hAnsi="宋体" w:cs="宋体"/>
                <w:b/>
                <w:color w:val="000000"/>
                <w:kern w:val="0"/>
                <w:sz w:val="24"/>
              </w:rPr>
            </w:pPr>
            <w:r>
              <w:rPr>
                <w:rFonts w:hint="eastAsia" w:ascii="宋体" w:hAnsi="宋体" w:cs="宋体"/>
                <w:b/>
                <w:color w:val="000000"/>
                <w:kern w:val="0"/>
                <w:sz w:val="24"/>
              </w:rPr>
              <w:t>495.31</w:t>
            </w:r>
          </w:p>
        </w:tc>
      </w:tr>
    </w:tbl>
    <w:p>
      <w:pPr>
        <w:pStyle w:val="5"/>
        <w:sectPr>
          <w:headerReference r:id="rId3" w:type="default"/>
          <w:footerReference r:id="rId4" w:type="default"/>
          <w:pgSz w:w="11906" w:h="16838"/>
          <w:pgMar w:top="1701" w:right="1418" w:bottom="1134" w:left="1588" w:header="851" w:footer="992" w:gutter="0"/>
          <w:cols w:space="720" w:num="1"/>
          <w:formProt w:val="0"/>
          <w:docGrid w:type="lines" w:linePitch="312" w:charSpace="91954"/>
        </w:sectPr>
      </w:pPr>
      <w:r>
        <w:rPr>
          <w:sz w:val="24"/>
        </w:rPr>
        <w:t>注：本表反映部门本年度的总收支和年末结转结余情况。</w:t>
      </w:r>
    </w:p>
    <w:p>
      <w:pPr>
        <w:pStyle w:val="5"/>
        <w:rPr>
          <w:sz w:val="22"/>
          <w:szCs w:val="22"/>
        </w:rPr>
      </w:pPr>
      <w:r>
        <w:rPr>
          <w:rFonts w:ascii="方正小标宋简体" w:hAnsi="方正小标宋简体" w:eastAsia="方正小标宋简体" w:cs="宋体"/>
          <w:kern w:val="0"/>
          <w:sz w:val="36"/>
          <w:szCs w:val="36"/>
        </w:rPr>
        <w:t>表二：收入决算表</w:t>
      </w:r>
    </w:p>
    <w:p>
      <w:pPr>
        <w:pStyle w:val="5"/>
        <w:jc w:val="right"/>
        <w:rPr>
          <w:sz w:val="22"/>
          <w:szCs w:val="22"/>
        </w:rPr>
      </w:pPr>
      <w:r>
        <w:rPr>
          <w:sz w:val="22"/>
          <w:szCs w:val="22"/>
        </w:rPr>
        <w:t xml:space="preserve">单位：万元                     </w:t>
      </w:r>
    </w:p>
    <w:tbl>
      <w:tblPr>
        <w:tblStyle w:val="3"/>
        <w:tblpPr w:leftFromText="180" w:rightFromText="180" w:vertAnchor="text" w:horzAnchor="page" w:tblpX="1078" w:tblpY="355"/>
        <w:tblW w:w="15171" w:type="dxa"/>
        <w:tblInd w:w="0" w:type="dxa"/>
        <w:tblLayout w:type="fixed"/>
        <w:tblCellMar>
          <w:top w:w="0" w:type="dxa"/>
          <w:left w:w="108" w:type="dxa"/>
          <w:bottom w:w="0" w:type="dxa"/>
          <w:right w:w="108" w:type="dxa"/>
        </w:tblCellMar>
      </w:tblPr>
      <w:tblGrid>
        <w:gridCol w:w="1526"/>
        <w:gridCol w:w="4230"/>
        <w:gridCol w:w="1590"/>
        <w:gridCol w:w="1742"/>
        <w:gridCol w:w="1215"/>
        <w:gridCol w:w="1155"/>
        <w:gridCol w:w="1185"/>
        <w:gridCol w:w="1320"/>
        <w:gridCol w:w="1208"/>
      </w:tblGrid>
      <w:tr>
        <w:tblPrEx>
          <w:tblCellMar>
            <w:top w:w="0" w:type="dxa"/>
            <w:left w:w="108" w:type="dxa"/>
            <w:bottom w:w="0" w:type="dxa"/>
            <w:right w:w="108" w:type="dxa"/>
          </w:tblCellMar>
        </w:tblPrEx>
        <w:trPr>
          <w:trHeight w:val="288" w:hRule="atLeast"/>
        </w:trPr>
        <w:tc>
          <w:tcPr>
            <w:tcW w:w="5756"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支出功能项 目</w:t>
            </w:r>
          </w:p>
        </w:tc>
        <w:tc>
          <w:tcPr>
            <w:tcW w:w="1590"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本年收入合计</w:t>
            </w:r>
          </w:p>
        </w:tc>
        <w:tc>
          <w:tcPr>
            <w:tcW w:w="1742"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财政拨款收入</w:t>
            </w:r>
          </w:p>
        </w:tc>
        <w:tc>
          <w:tcPr>
            <w:tcW w:w="1215"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上级补助收入</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事业收入</w:t>
            </w:r>
          </w:p>
        </w:tc>
        <w:tc>
          <w:tcPr>
            <w:tcW w:w="1185"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经营收入</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附属单位上缴收入</w:t>
            </w: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其他收入</w:t>
            </w:r>
          </w:p>
        </w:tc>
      </w:tr>
      <w:tr>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tcPr>
          <w:p>
            <w:pPr>
              <w:pStyle w:val="5"/>
              <w:jc w:val="left"/>
              <w:rPr>
                <w:rFonts w:ascii="宋体" w:hAnsi="宋体" w:cs="Arial"/>
                <w:kern w:val="0"/>
                <w:sz w:val="24"/>
              </w:rPr>
            </w:pPr>
            <w:r>
              <w:rPr>
                <w:rFonts w:ascii="宋体" w:hAnsi="宋体" w:cs="Arial"/>
                <w:kern w:val="0"/>
                <w:sz w:val="24"/>
                <w:lang w:bidi="hi-IN"/>
              </w:rPr>
              <w:t>支出功能分类科目编码</w:t>
            </w:r>
          </w:p>
        </w:tc>
        <w:tc>
          <w:tcPr>
            <w:tcW w:w="423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科目名称</w:t>
            </w:r>
          </w:p>
        </w:tc>
        <w:tc>
          <w:tcPr>
            <w:tcW w:w="1590"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742"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215"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185"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r>
      <w:tr>
        <w:tblPrEx>
          <w:tblCellMar>
            <w:top w:w="0" w:type="dxa"/>
            <w:left w:w="108" w:type="dxa"/>
            <w:bottom w:w="0" w:type="dxa"/>
            <w:right w:w="108" w:type="dxa"/>
          </w:tblCellMar>
        </w:tblPrEx>
        <w:trPr>
          <w:trHeight w:val="288" w:hRule="atLeast"/>
        </w:trPr>
        <w:tc>
          <w:tcPr>
            <w:tcW w:w="5756"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b/>
                <w:bCs/>
                <w:kern w:val="0"/>
                <w:sz w:val="24"/>
                <w:lang w:bidi="hi-IN"/>
              </w:rPr>
              <w:t>栏次</w:t>
            </w:r>
          </w:p>
        </w:tc>
        <w:tc>
          <w:tcPr>
            <w:tcW w:w="159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1</w:t>
            </w:r>
          </w:p>
        </w:tc>
        <w:tc>
          <w:tcPr>
            <w:tcW w:w="1742"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2</w:t>
            </w:r>
          </w:p>
        </w:tc>
        <w:tc>
          <w:tcPr>
            <w:tcW w:w="121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3</w:t>
            </w:r>
          </w:p>
        </w:tc>
        <w:tc>
          <w:tcPr>
            <w:tcW w:w="115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4</w:t>
            </w:r>
          </w:p>
        </w:tc>
        <w:tc>
          <w:tcPr>
            <w:tcW w:w="1185"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5</w:t>
            </w:r>
          </w:p>
        </w:tc>
        <w:tc>
          <w:tcPr>
            <w:tcW w:w="1320"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6</w:t>
            </w:r>
          </w:p>
        </w:tc>
        <w:tc>
          <w:tcPr>
            <w:tcW w:w="1208"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7</w:t>
            </w:r>
          </w:p>
        </w:tc>
      </w:tr>
      <w:tr>
        <w:tblPrEx>
          <w:tblCellMar>
            <w:top w:w="0" w:type="dxa"/>
            <w:left w:w="108" w:type="dxa"/>
            <w:bottom w:w="0" w:type="dxa"/>
            <w:right w:w="108" w:type="dxa"/>
          </w:tblCellMar>
        </w:tblPrEx>
        <w:trPr>
          <w:trHeight w:val="288" w:hRule="atLeast"/>
        </w:trPr>
        <w:tc>
          <w:tcPr>
            <w:tcW w:w="5756"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合计</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427.61</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427.39</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0.22</w:t>
            </w:r>
          </w:p>
        </w:tc>
      </w:tr>
      <w:tr>
        <w:tblPrEx>
          <w:tblCellMar>
            <w:top w:w="0" w:type="dxa"/>
            <w:left w:w="108" w:type="dxa"/>
            <w:bottom w:w="0" w:type="dxa"/>
            <w:right w:w="108" w:type="dxa"/>
          </w:tblCellMar>
        </w:tblPrEx>
        <w:trPr>
          <w:trHeight w:val="327"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社会保障和就业支出</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29.41</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29.41</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行政事业单位离退休</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29.41</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29.41</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2080505</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机关事业单位基本养老保险缴费支出</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20.93</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20.93</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90"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2080506</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机关事业单位职业年金缴费支出</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8.49</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8.49</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210</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卫生健康支出</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21011</w:t>
            </w:r>
          </w:p>
        </w:tc>
        <w:tc>
          <w:tcPr>
            <w:tcW w:w="4230"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行政事业单位医疗</w:t>
            </w:r>
          </w:p>
        </w:tc>
        <w:tc>
          <w:tcPr>
            <w:tcW w:w="159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74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21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2101102</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事业单位医疗</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节能环保支出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372.40</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372.40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382"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环境保护管理事务</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230.43</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230.43</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2110104</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环境保护宣传</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18.83</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18.83</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2110199</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其他环境保护管理事务支出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211.60</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211.60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21111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污染减排</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141.97</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141.97</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2111101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生态环境监测与信息</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141.97</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141.97</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住房保障支出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22102</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住房改革支出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2210201</w:t>
            </w: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住房公积金</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229</w:t>
            </w:r>
          </w:p>
        </w:tc>
        <w:tc>
          <w:tcPr>
            <w:tcW w:w="4230"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其他支出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0.22</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0.22</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22999</w:t>
            </w:r>
          </w:p>
        </w:tc>
        <w:tc>
          <w:tcPr>
            <w:tcW w:w="4230"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其他支出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0.22</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0.22</w:t>
            </w:r>
          </w:p>
        </w:tc>
      </w:tr>
      <w:tr>
        <w:tblPrEx>
          <w:tblCellMar>
            <w:top w:w="0" w:type="dxa"/>
            <w:left w:w="108" w:type="dxa"/>
            <w:bottom w:w="0" w:type="dxa"/>
            <w:right w:w="108" w:type="dxa"/>
          </w:tblCellMar>
        </w:tblPrEx>
        <w:trPr>
          <w:trHeight w:val="288" w:hRule="atLeast"/>
        </w:trPr>
        <w:tc>
          <w:tcPr>
            <w:tcW w:w="1526"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2299901</w:t>
            </w:r>
          </w:p>
        </w:tc>
        <w:tc>
          <w:tcPr>
            <w:tcW w:w="4230" w:type="dxa"/>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xml:space="preserve">  其他支出</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0.22</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0.22</w:t>
            </w:r>
          </w:p>
        </w:tc>
      </w:tr>
    </w:tbl>
    <w:p>
      <w:pPr>
        <w:pStyle w:val="5"/>
        <w:rPr>
          <w:rFonts w:ascii="方正小标宋简体" w:hAnsi="方正小标宋简体" w:eastAsia="方正小标宋简体" w:cs="宋体"/>
          <w:kern w:val="0"/>
          <w:sz w:val="24"/>
        </w:rPr>
      </w:pPr>
      <w:r>
        <w:rPr>
          <w:sz w:val="24"/>
        </w:rPr>
        <w:t>注：本表反映部门本年度取得的各项收入情况。</w:t>
      </w: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pPr>
      <w:r>
        <w:rPr>
          <w:rFonts w:ascii="方正小标宋简体" w:hAnsi="方正小标宋简体" w:eastAsia="方正小标宋简体" w:cs="宋体"/>
          <w:kern w:val="0"/>
          <w:sz w:val="36"/>
          <w:szCs w:val="36"/>
        </w:rPr>
        <w:t>表三：支出决算表</w:t>
      </w:r>
    </w:p>
    <w:p>
      <w:pPr>
        <w:pStyle w:val="5"/>
        <w:jc w:val="right"/>
      </w:pPr>
      <w:r>
        <w:rPr>
          <w:sz w:val="22"/>
          <w:szCs w:val="22"/>
        </w:rPr>
        <w:t>单位：万元</w:t>
      </w:r>
    </w:p>
    <w:tbl>
      <w:tblPr>
        <w:tblStyle w:val="3"/>
        <w:tblW w:w="14355" w:type="dxa"/>
        <w:jc w:val="center"/>
        <w:tblLayout w:type="fixed"/>
        <w:tblCellMar>
          <w:top w:w="0" w:type="dxa"/>
          <w:left w:w="108" w:type="dxa"/>
          <w:bottom w:w="0" w:type="dxa"/>
          <w:right w:w="108" w:type="dxa"/>
        </w:tblCellMar>
      </w:tblPr>
      <w:tblGrid>
        <w:gridCol w:w="1178"/>
        <w:gridCol w:w="4329"/>
        <w:gridCol w:w="1529"/>
        <w:gridCol w:w="1546"/>
        <w:gridCol w:w="1289"/>
        <w:gridCol w:w="1532"/>
        <w:gridCol w:w="1432"/>
        <w:gridCol w:w="1520"/>
      </w:tblGrid>
      <w:tr>
        <w:tblPrEx>
          <w:tblCellMar>
            <w:top w:w="0" w:type="dxa"/>
            <w:left w:w="108" w:type="dxa"/>
            <w:bottom w:w="0" w:type="dxa"/>
            <w:right w:w="108" w:type="dxa"/>
          </w:tblCellMar>
        </w:tblPrEx>
        <w:trPr>
          <w:trHeight w:val="288" w:hRule="atLeast"/>
          <w:jc w:val="center"/>
        </w:trPr>
        <w:tc>
          <w:tcPr>
            <w:tcW w:w="5507" w:type="dxa"/>
            <w:gridSpan w:val="2"/>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支出功能项 目</w:t>
            </w:r>
          </w:p>
        </w:tc>
        <w:tc>
          <w:tcPr>
            <w:tcW w:w="1529"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本年支出合计</w:t>
            </w:r>
          </w:p>
        </w:tc>
        <w:tc>
          <w:tcPr>
            <w:tcW w:w="1546"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基本支出</w:t>
            </w:r>
          </w:p>
        </w:tc>
        <w:tc>
          <w:tcPr>
            <w:tcW w:w="1289"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项目支出</w:t>
            </w:r>
          </w:p>
        </w:tc>
        <w:tc>
          <w:tcPr>
            <w:tcW w:w="1532"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上缴上级支出</w:t>
            </w:r>
          </w:p>
        </w:tc>
        <w:tc>
          <w:tcPr>
            <w:tcW w:w="1432"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经营支出</w:t>
            </w:r>
          </w:p>
        </w:tc>
        <w:tc>
          <w:tcPr>
            <w:tcW w:w="1520"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对附属单位补助支出</w:t>
            </w:r>
          </w:p>
        </w:tc>
      </w:tr>
      <w:tr>
        <w:tblPrEx>
          <w:tblCellMar>
            <w:top w:w="0" w:type="dxa"/>
            <w:left w:w="108" w:type="dxa"/>
            <w:bottom w:w="0" w:type="dxa"/>
            <w:right w:w="108" w:type="dxa"/>
          </w:tblCellMar>
        </w:tblPrEx>
        <w:trPr>
          <w:trHeight w:val="762" w:hRule="atLeast"/>
          <w:jc w:val="center"/>
        </w:trPr>
        <w:tc>
          <w:tcPr>
            <w:tcW w:w="1178" w:type="dxa"/>
            <w:tcBorders>
              <w:left w:val="single" w:color="000000" w:sz="4" w:space="0"/>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支出功能分类科目编码</w:t>
            </w:r>
          </w:p>
        </w:tc>
        <w:tc>
          <w:tcPr>
            <w:tcW w:w="4329"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科目名称</w:t>
            </w:r>
          </w:p>
        </w:tc>
        <w:tc>
          <w:tcPr>
            <w:tcW w:w="1529"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546"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289"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532"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c>
          <w:tcPr>
            <w:tcW w:w="1432"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520"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kern w:val="0"/>
                <w:sz w:val="24"/>
              </w:rPr>
            </w:pPr>
          </w:p>
        </w:tc>
      </w:tr>
      <w:tr>
        <w:tblPrEx>
          <w:tblCellMar>
            <w:top w:w="0" w:type="dxa"/>
            <w:left w:w="108" w:type="dxa"/>
            <w:bottom w:w="0" w:type="dxa"/>
            <w:right w:w="108" w:type="dxa"/>
          </w:tblCellMar>
        </w:tblPrEx>
        <w:trPr>
          <w:trHeight w:val="288" w:hRule="atLeast"/>
          <w:jc w:val="center"/>
        </w:trPr>
        <w:tc>
          <w:tcPr>
            <w:tcW w:w="5507" w:type="dxa"/>
            <w:gridSpan w:val="2"/>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栏次</w:t>
            </w:r>
          </w:p>
        </w:tc>
        <w:tc>
          <w:tcPr>
            <w:tcW w:w="1529"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1</w:t>
            </w:r>
          </w:p>
        </w:tc>
        <w:tc>
          <w:tcPr>
            <w:tcW w:w="1546"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2</w:t>
            </w:r>
          </w:p>
        </w:tc>
        <w:tc>
          <w:tcPr>
            <w:tcW w:w="1289"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3</w:t>
            </w:r>
          </w:p>
        </w:tc>
        <w:tc>
          <w:tcPr>
            <w:tcW w:w="1532"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4</w:t>
            </w:r>
          </w:p>
        </w:tc>
        <w:tc>
          <w:tcPr>
            <w:tcW w:w="1432"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5</w:t>
            </w:r>
          </w:p>
        </w:tc>
        <w:tc>
          <w:tcPr>
            <w:tcW w:w="1520"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6</w:t>
            </w:r>
          </w:p>
        </w:tc>
      </w:tr>
      <w:tr>
        <w:tblPrEx>
          <w:tblCellMar>
            <w:top w:w="0" w:type="dxa"/>
            <w:left w:w="108" w:type="dxa"/>
            <w:bottom w:w="0" w:type="dxa"/>
            <w:right w:w="108" w:type="dxa"/>
          </w:tblCellMar>
        </w:tblPrEx>
        <w:trPr>
          <w:trHeight w:val="288" w:hRule="atLeast"/>
          <w:jc w:val="center"/>
        </w:trPr>
        <w:tc>
          <w:tcPr>
            <w:tcW w:w="5507" w:type="dxa"/>
            <w:gridSpan w:val="2"/>
            <w:tcBorders>
              <w:top w:val="single" w:color="000000" w:sz="4" w:space="0"/>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合计</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478.29</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191.37</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286.92</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b/>
                <w:bCs/>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w:t>
            </w:r>
          </w:p>
        </w:tc>
        <w:tc>
          <w:tcPr>
            <w:tcW w:w="4329"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社会保障和就业支出</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29.41</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29.41</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w:t>
            </w:r>
          </w:p>
        </w:tc>
        <w:tc>
          <w:tcPr>
            <w:tcW w:w="4329"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行政事业单位离退休</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29.41</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29.41</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2080505</w:t>
            </w:r>
          </w:p>
        </w:tc>
        <w:tc>
          <w:tcPr>
            <w:tcW w:w="4329"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机关事业单位基本养老保险缴费支出</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20.93</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20.93</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2080506</w:t>
            </w:r>
          </w:p>
        </w:tc>
        <w:tc>
          <w:tcPr>
            <w:tcW w:w="4329"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机关事业单位职业年金缴费支出</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8.49</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8.49</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210</w:t>
            </w:r>
          </w:p>
        </w:tc>
        <w:tc>
          <w:tcPr>
            <w:tcW w:w="4329" w:type="dxa"/>
            <w:tcBorders>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卫生健康支出</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21011</w:t>
            </w:r>
          </w:p>
        </w:tc>
        <w:tc>
          <w:tcPr>
            <w:tcW w:w="4329" w:type="dxa"/>
            <w:tcBorders>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行政事业单位医疗</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2101102</w:t>
            </w:r>
          </w:p>
        </w:tc>
        <w:tc>
          <w:tcPr>
            <w:tcW w:w="4329" w:type="dxa"/>
            <w:tcBorders>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 xml:space="preserve">  事业单位医疗</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90" w:hRule="atLeast"/>
          <w:jc w:val="center"/>
        </w:trPr>
        <w:tc>
          <w:tcPr>
            <w:tcW w:w="1178"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w:t>
            </w:r>
          </w:p>
        </w:tc>
        <w:tc>
          <w:tcPr>
            <w:tcW w:w="4329"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节能环保支出</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423.30</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136.38</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286.92</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21101</w:t>
            </w:r>
          </w:p>
        </w:tc>
        <w:tc>
          <w:tcPr>
            <w:tcW w:w="4329"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环境保护管理事务</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230.43</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230.43</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2110104</w:t>
            </w:r>
          </w:p>
        </w:tc>
        <w:tc>
          <w:tcPr>
            <w:tcW w:w="4329"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环境保护宣传</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18.83</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18.83</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2110199</w:t>
            </w:r>
          </w:p>
        </w:tc>
        <w:tc>
          <w:tcPr>
            <w:tcW w:w="4329"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其他环境保护管理事务支出</w:t>
            </w:r>
          </w:p>
        </w:tc>
        <w:tc>
          <w:tcPr>
            <w:tcW w:w="152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211.60</w:t>
            </w:r>
          </w:p>
        </w:tc>
        <w:tc>
          <w:tcPr>
            <w:tcW w:w="1546"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89"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211.60</w:t>
            </w:r>
          </w:p>
        </w:tc>
        <w:tc>
          <w:tcPr>
            <w:tcW w:w="15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21103</w:t>
            </w:r>
          </w:p>
        </w:tc>
        <w:tc>
          <w:tcPr>
            <w:tcW w:w="4329"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污染防治</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40.00</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40.00</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2110399</w:t>
            </w:r>
          </w:p>
        </w:tc>
        <w:tc>
          <w:tcPr>
            <w:tcW w:w="4329"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其他污染防治支出</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40.00</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40.00</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21111</w:t>
            </w:r>
          </w:p>
        </w:tc>
        <w:tc>
          <w:tcPr>
            <w:tcW w:w="4329"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污染减排</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152.87</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136.38</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16.49</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2111101</w:t>
            </w:r>
          </w:p>
        </w:tc>
        <w:tc>
          <w:tcPr>
            <w:tcW w:w="4329"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 xml:space="preserve">  生态环境监测与信息</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152.87</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136.38</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16.49</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w:t>
            </w:r>
          </w:p>
        </w:tc>
        <w:tc>
          <w:tcPr>
            <w:tcW w:w="4329"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住房保障支出</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22102</w:t>
            </w:r>
          </w:p>
        </w:tc>
        <w:tc>
          <w:tcPr>
            <w:tcW w:w="4329"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住房改革支出</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178"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2210201</w:t>
            </w:r>
          </w:p>
        </w:tc>
        <w:tc>
          <w:tcPr>
            <w:tcW w:w="4329"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住房公积金</w:t>
            </w:r>
          </w:p>
        </w:tc>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4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0.00</w:t>
            </w:r>
          </w:p>
        </w:tc>
      </w:tr>
    </w:tbl>
    <w:p>
      <w:pPr>
        <w:pStyle w:val="5"/>
        <w:rPr>
          <w:rFonts w:ascii="方正小标宋简体" w:hAnsi="方正小标宋简体" w:eastAsia="方正小标宋简体" w:cs="宋体"/>
          <w:kern w:val="0"/>
          <w:sz w:val="24"/>
        </w:rPr>
      </w:pPr>
      <w:r>
        <w:rPr>
          <w:sz w:val="24"/>
        </w:rPr>
        <w:t>注：本表反映部门本年度各项支出情况。</w:t>
      </w: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rPr>
          <w:rFonts w:ascii="方正小标宋简体" w:hAnsi="方正小标宋简体" w:eastAsia="方正小标宋简体" w:cs="宋体"/>
          <w:kern w:val="0"/>
          <w:sz w:val="36"/>
          <w:szCs w:val="36"/>
        </w:rPr>
      </w:pPr>
    </w:p>
    <w:p>
      <w:pPr>
        <w:pStyle w:val="5"/>
      </w:pPr>
      <w:r>
        <w:rPr>
          <w:rFonts w:ascii="方正小标宋简体" w:hAnsi="方正小标宋简体" w:eastAsia="方正小标宋简体" w:cs="宋体"/>
          <w:kern w:val="0"/>
          <w:sz w:val="36"/>
          <w:szCs w:val="36"/>
        </w:rPr>
        <w:t>表四：财政拨款收入支出决算总表</w:t>
      </w:r>
    </w:p>
    <w:tbl>
      <w:tblPr>
        <w:tblStyle w:val="3"/>
        <w:tblpPr w:leftFromText="180" w:rightFromText="180" w:vertAnchor="text" w:horzAnchor="page" w:tblpX="1448" w:tblpY="24"/>
        <w:tblW w:w="14083" w:type="dxa"/>
        <w:tblInd w:w="0" w:type="dxa"/>
        <w:tblLayout w:type="fixed"/>
        <w:tblCellMar>
          <w:top w:w="0" w:type="dxa"/>
          <w:left w:w="108" w:type="dxa"/>
          <w:bottom w:w="0" w:type="dxa"/>
          <w:right w:w="108" w:type="dxa"/>
        </w:tblCellMar>
      </w:tblPr>
      <w:tblGrid>
        <w:gridCol w:w="4380"/>
        <w:gridCol w:w="735"/>
        <w:gridCol w:w="1424"/>
        <w:gridCol w:w="3134"/>
        <w:gridCol w:w="680"/>
        <w:gridCol w:w="1268"/>
        <w:gridCol w:w="1266"/>
        <w:gridCol w:w="1196"/>
      </w:tblGrid>
      <w:tr>
        <w:tblPrEx>
          <w:tblCellMar>
            <w:top w:w="0" w:type="dxa"/>
            <w:left w:w="108" w:type="dxa"/>
            <w:bottom w:w="0" w:type="dxa"/>
            <w:right w:w="108" w:type="dxa"/>
          </w:tblCellMar>
        </w:tblPrEx>
        <w:trPr>
          <w:trHeight w:val="300" w:hRule="atLeast"/>
        </w:trPr>
        <w:tc>
          <w:tcPr>
            <w:tcW w:w="6539" w:type="dxa"/>
            <w:gridSpan w:val="3"/>
            <w:tcBorders>
              <w:top w:val="single" w:color="000000" w:sz="4" w:space="0"/>
              <w:left w:val="single" w:color="000000" w:sz="4" w:space="0"/>
              <w:bottom w:val="single" w:color="000000" w:sz="4" w:space="0"/>
              <w:right w:val="single" w:color="000000" w:sz="4" w:space="0"/>
            </w:tcBorders>
          </w:tcPr>
          <w:p>
            <w:pPr>
              <w:pStyle w:val="5"/>
              <w:jc w:val="center"/>
              <w:rPr>
                <w:rFonts w:ascii="Arial" w:hAnsi="Arial" w:cs="Arial"/>
                <w:color w:val="000000"/>
                <w:kern w:val="0"/>
                <w:sz w:val="24"/>
              </w:rPr>
            </w:pPr>
            <w:r>
              <w:rPr>
                <w:rFonts w:ascii="MingLiU" w:hAnsi="MingLiU" w:eastAsia="MingLiU" w:cs="Arial"/>
                <w:kern w:val="0"/>
                <w:sz w:val="24"/>
                <w:lang w:bidi="hi-IN"/>
              </w:rPr>
              <w:t>收 入</w:t>
            </w:r>
          </w:p>
        </w:tc>
        <w:tc>
          <w:tcPr>
            <w:tcW w:w="7544" w:type="dxa"/>
            <w:gridSpan w:val="5"/>
            <w:tcBorders>
              <w:top w:val="single" w:color="000000" w:sz="4" w:space="0"/>
              <w:bottom w:val="single" w:color="000000" w:sz="4" w:space="0"/>
              <w:right w:val="single" w:color="000000" w:sz="4" w:space="0"/>
            </w:tcBorders>
          </w:tcPr>
          <w:p>
            <w:pPr>
              <w:pStyle w:val="5"/>
              <w:jc w:val="center"/>
              <w:rPr>
                <w:rFonts w:ascii="Arial" w:hAnsi="Arial" w:cs="Arial"/>
                <w:color w:val="000000"/>
                <w:kern w:val="0"/>
                <w:sz w:val="24"/>
              </w:rPr>
            </w:pPr>
            <w:r>
              <w:rPr>
                <w:rFonts w:ascii="MingLiU" w:hAnsi="MingLiU" w:eastAsia="MingLiU" w:cs="Arial"/>
                <w:kern w:val="0"/>
                <w:sz w:val="24"/>
                <w:lang w:bidi="hi-IN"/>
              </w:rPr>
              <w:t>支 出</w:t>
            </w:r>
          </w:p>
        </w:tc>
      </w:tr>
      <w:tr>
        <w:tblPrEx>
          <w:tblCellMar>
            <w:top w:w="0" w:type="dxa"/>
            <w:left w:w="108" w:type="dxa"/>
            <w:bottom w:w="0" w:type="dxa"/>
            <w:right w:w="108" w:type="dxa"/>
          </w:tblCellMar>
        </w:tblPrEx>
        <w:trPr>
          <w:trHeight w:val="732" w:hRule="atLeast"/>
        </w:trPr>
        <w:tc>
          <w:tcPr>
            <w:tcW w:w="4380" w:type="dxa"/>
            <w:tcBorders>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项 目</w:t>
            </w:r>
          </w:p>
        </w:tc>
        <w:tc>
          <w:tcPr>
            <w:tcW w:w="735" w:type="dxa"/>
            <w:tcBorders>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行次</w:t>
            </w:r>
          </w:p>
        </w:tc>
        <w:tc>
          <w:tcPr>
            <w:tcW w:w="1424"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金额</w:t>
            </w:r>
          </w:p>
        </w:tc>
        <w:tc>
          <w:tcPr>
            <w:tcW w:w="3134"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项 目</w:t>
            </w:r>
          </w:p>
        </w:tc>
        <w:tc>
          <w:tcPr>
            <w:tcW w:w="680" w:type="dxa"/>
            <w:tcBorders>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行次</w:t>
            </w:r>
          </w:p>
        </w:tc>
        <w:tc>
          <w:tcPr>
            <w:tcW w:w="1268"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合计</w:t>
            </w:r>
          </w:p>
        </w:tc>
        <w:tc>
          <w:tcPr>
            <w:tcW w:w="1266" w:type="dxa"/>
            <w:tcBorders>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一般公共预算财政拨款</w:t>
            </w:r>
          </w:p>
        </w:tc>
        <w:tc>
          <w:tcPr>
            <w:tcW w:w="1196" w:type="dxa"/>
            <w:tcBorders>
              <w:bottom w:val="single" w:color="000000" w:sz="4" w:space="0"/>
              <w:right w:val="single" w:color="000000" w:sz="4" w:space="0"/>
            </w:tcBorders>
            <w:vAlign w:val="center"/>
          </w:tcPr>
          <w:p>
            <w:pPr>
              <w:pStyle w:val="5"/>
              <w:jc w:val="center"/>
              <w:rPr>
                <w:rFonts w:ascii="宋体" w:hAnsi="宋体" w:cs="Arial"/>
                <w:kern w:val="0"/>
                <w:sz w:val="24"/>
              </w:rPr>
            </w:pPr>
            <w:r>
              <w:rPr>
                <w:rFonts w:ascii="宋体" w:hAnsi="宋体" w:cs="Arial"/>
                <w:kern w:val="0"/>
                <w:sz w:val="24"/>
                <w:lang w:bidi="hi-IN"/>
              </w:rPr>
              <w:t>政府性基金预算财政拨款</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栏 次</w:t>
            </w:r>
          </w:p>
        </w:tc>
        <w:tc>
          <w:tcPr>
            <w:tcW w:w="735"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1424"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栏 次</w:t>
            </w:r>
          </w:p>
        </w:tc>
        <w:tc>
          <w:tcPr>
            <w:tcW w:w="680"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1268"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w:t>
            </w:r>
          </w:p>
        </w:tc>
        <w:tc>
          <w:tcPr>
            <w:tcW w:w="1266"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3</w:t>
            </w:r>
          </w:p>
        </w:tc>
        <w:tc>
          <w:tcPr>
            <w:tcW w:w="1196"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4</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一、一般公共预算财政拨款收入</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lang w:bidi="hi-IN"/>
              </w:rPr>
              <w:t>427.39</w:t>
            </w:r>
            <w:r>
              <w:rPr>
                <w:rFonts w:ascii="宋体" w:hAnsi="宋体" w:cs="Arial"/>
                <w:color w:val="000000"/>
                <w:kern w:val="0"/>
                <w:sz w:val="24"/>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一、一般公共服务支出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18</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二、政府性基金预算财政拨款收入</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二、外交支出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19</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3</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三、教育支出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20</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4</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四、科学技术支出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21</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5</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五、文化旅游体育与传媒支出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22</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6</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六、社会保障和就业支出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23</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29.41</w:t>
            </w: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29.41</w:t>
            </w: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327"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7</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七、卫生健康支出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24</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9.89</w:t>
            </w: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9.89</w:t>
            </w: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8</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八、节能环保支出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25</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423.30</w:t>
            </w: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423.30</w:t>
            </w: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9</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九、城乡社区支出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26</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10</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十、资源勘探信息等支出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27</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11</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十一、住房保障支出</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28</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15.69</w:t>
            </w: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15.69</w:t>
            </w: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12</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29</w:t>
            </w:r>
          </w:p>
        </w:tc>
        <w:tc>
          <w:tcPr>
            <w:tcW w:w="1268"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126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c>
          <w:tcPr>
            <w:tcW w:w="1196" w:type="dxa"/>
            <w:tcBorders>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117"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本年收入合计</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13</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427.39</w:t>
            </w:r>
          </w:p>
        </w:tc>
        <w:tc>
          <w:tcPr>
            <w:tcW w:w="3134"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本年支出合计</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30</w:t>
            </w:r>
          </w:p>
        </w:tc>
        <w:tc>
          <w:tcPr>
            <w:tcW w:w="3730" w:type="dxa"/>
            <w:gridSpan w:val="3"/>
            <w:tcBorders>
              <w:top w:val="single" w:color="000000" w:sz="4" w:space="0"/>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lang w:bidi="hi-IN"/>
              </w:rPr>
              <w:t>478.29</w:t>
            </w: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kern w:val="0"/>
                <w:sz w:val="24"/>
                <w:lang w:bidi="hi-IN"/>
              </w:rPr>
              <w:t>年初财政拨款结转和结余</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14</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61.45</w:t>
            </w:r>
          </w:p>
        </w:tc>
        <w:tc>
          <w:tcPr>
            <w:tcW w:w="3134"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年末财政拨款结转和结余</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31</w:t>
            </w:r>
          </w:p>
        </w:tc>
        <w:tc>
          <w:tcPr>
            <w:tcW w:w="3730" w:type="dxa"/>
            <w:gridSpan w:val="3"/>
            <w:tcBorders>
              <w:top w:val="single" w:color="000000" w:sz="4" w:space="0"/>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lang w:bidi="hi-IN"/>
              </w:rPr>
              <w:t>10.54</w:t>
            </w: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ind w:firstLine="240" w:firstLineChars="100"/>
              <w:jc w:val="left"/>
              <w:rPr>
                <w:rFonts w:ascii="宋体" w:hAnsi="宋体" w:cs="Arial"/>
                <w:kern w:val="0"/>
                <w:sz w:val="24"/>
              </w:rPr>
            </w:pPr>
            <w:r>
              <w:rPr>
                <w:rFonts w:ascii="宋体" w:hAnsi="宋体" w:cs="Arial"/>
                <w:kern w:val="0"/>
                <w:sz w:val="24"/>
                <w:lang w:bidi="hi-IN"/>
              </w:rPr>
              <w:t>一般公共预算财政拨款</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15</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61.45</w:t>
            </w: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32</w:t>
            </w:r>
          </w:p>
        </w:tc>
        <w:tc>
          <w:tcPr>
            <w:tcW w:w="3730" w:type="dxa"/>
            <w:gridSpan w:val="3"/>
            <w:tcBorders>
              <w:top w:val="single" w:color="000000" w:sz="4" w:space="0"/>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ind w:firstLine="240" w:firstLineChars="100"/>
              <w:jc w:val="left"/>
              <w:rPr>
                <w:rFonts w:ascii="宋体" w:hAnsi="宋体" w:cs="Arial"/>
                <w:color w:val="000000"/>
                <w:kern w:val="0"/>
                <w:sz w:val="24"/>
              </w:rPr>
            </w:pPr>
            <w:r>
              <w:rPr>
                <w:rFonts w:ascii="宋体" w:hAnsi="宋体" w:cs="Arial"/>
                <w:kern w:val="0"/>
                <w:sz w:val="24"/>
                <w:lang w:bidi="hi-IN"/>
              </w:rPr>
              <w:t>政府性基金预算财政拨款</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16</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p>
        </w:tc>
        <w:tc>
          <w:tcPr>
            <w:tcW w:w="3134" w:type="dxa"/>
            <w:tcBorders>
              <w:bottom w:val="single" w:color="000000" w:sz="4" w:space="0"/>
              <w:right w:val="single" w:color="000000" w:sz="4" w:space="0"/>
            </w:tcBorders>
          </w:tcPr>
          <w:p>
            <w:pPr>
              <w:pStyle w:val="5"/>
              <w:jc w:val="left"/>
              <w:rPr>
                <w:rFonts w:ascii="宋体" w:hAnsi="宋体" w:cs="Arial"/>
                <w:color w:val="000000"/>
                <w:kern w:val="0"/>
                <w:sz w:val="24"/>
              </w:rPr>
            </w:pPr>
            <w:r>
              <w:rPr>
                <w:rFonts w:ascii="宋体" w:hAnsi="宋体" w:cs="Arial"/>
                <w:color w:val="000000"/>
                <w:kern w:val="0"/>
                <w:sz w:val="24"/>
                <w:lang w:bidi="hi-IN"/>
              </w:rPr>
              <w:t>　</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33</w:t>
            </w:r>
          </w:p>
        </w:tc>
        <w:tc>
          <w:tcPr>
            <w:tcW w:w="3730" w:type="dxa"/>
            <w:gridSpan w:val="3"/>
            <w:tcBorders>
              <w:top w:val="single" w:color="000000" w:sz="4" w:space="0"/>
              <w:bottom w:val="single" w:color="000000" w:sz="4" w:space="0"/>
              <w:right w:val="single" w:color="000000" w:sz="4" w:space="0"/>
            </w:tcBorders>
          </w:tcPr>
          <w:p>
            <w:pPr>
              <w:pStyle w:val="5"/>
              <w:jc w:val="righ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88" w:hRule="atLeast"/>
        </w:trPr>
        <w:tc>
          <w:tcPr>
            <w:tcW w:w="4380" w:type="dxa"/>
            <w:tcBorders>
              <w:left w:val="single" w:color="000000" w:sz="4" w:space="0"/>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合计</w:t>
            </w:r>
          </w:p>
        </w:tc>
        <w:tc>
          <w:tcPr>
            <w:tcW w:w="735"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17</w:t>
            </w:r>
          </w:p>
        </w:tc>
        <w:tc>
          <w:tcPr>
            <w:tcW w:w="1424" w:type="dxa"/>
            <w:tcBorders>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rPr>
              <w:t>488.83</w:t>
            </w:r>
          </w:p>
        </w:tc>
        <w:tc>
          <w:tcPr>
            <w:tcW w:w="3134"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kern w:val="0"/>
                <w:sz w:val="24"/>
                <w:lang w:bidi="hi-IN"/>
              </w:rPr>
              <w:t>合计</w:t>
            </w:r>
          </w:p>
        </w:tc>
        <w:tc>
          <w:tcPr>
            <w:tcW w:w="68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34</w:t>
            </w:r>
          </w:p>
        </w:tc>
        <w:tc>
          <w:tcPr>
            <w:tcW w:w="3730" w:type="dxa"/>
            <w:gridSpan w:val="3"/>
            <w:tcBorders>
              <w:top w:val="single" w:color="000000" w:sz="4" w:space="0"/>
              <w:bottom w:val="single" w:color="000000" w:sz="4" w:space="0"/>
              <w:right w:val="single" w:color="000000" w:sz="4" w:space="0"/>
            </w:tcBorders>
          </w:tcPr>
          <w:p>
            <w:pPr>
              <w:pStyle w:val="5"/>
              <w:jc w:val="right"/>
              <w:rPr>
                <w:rFonts w:ascii="宋体" w:hAnsi="宋体" w:cs="Arial"/>
                <w:color w:val="000000"/>
                <w:kern w:val="0"/>
                <w:sz w:val="24"/>
              </w:rPr>
            </w:pPr>
            <w:r>
              <w:rPr>
                <w:rFonts w:hint="eastAsia" w:ascii="宋体" w:hAnsi="宋体" w:cs="Arial"/>
                <w:color w:val="000000"/>
                <w:kern w:val="0"/>
                <w:sz w:val="24"/>
                <w:lang w:bidi="hi-IN"/>
              </w:rPr>
              <w:t>488.83</w:t>
            </w:r>
            <w:r>
              <w:rPr>
                <w:rFonts w:ascii="宋体" w:hAnsi="宋体" w:cs="Arial"/>
                <w:color w:val="000000"/>
                <w:kern w:val="0"/>
                <w:sz w:val="24"/>
                <w:lang w:bidi="hi-IN"/>
              </w:rPr>
              <w:t>　</w:t>
            </w:r>
          </w:p>
        </w:tc>
      </w:tr>
    </w:tbl>
    <w:p>
      <w:pPr>
        <w:pStyle w:val="5"/>
        <w:jc w:val="right"/>
        <w:rPr>
          <w:sz w:val="24"/>
        </w:rPr>
      </w:pPr>
      <w:r>
        <w:rPr>
          <w:sz w:val="24"/>
        </w:rPr>
        <w:t>单位：万元</w:t>
      </w:r>
    </w:p>
    <w:p>
      <w:pPr>
        <w:pStyle w:val="5"/>
        <w:rPr>
          <w:sz w:val="24"/>
        </w:rPr>
      </w:pPr>
      <w:r>
        <w:rPr>
          <w:sz w:val="24"/>
        </w:rPr>
        <w:t>注：本表反映部门本年度一般公共预算财政拨款和政府性基金预算财政拨款的总收支和年末结转结余情况。</w:t>
      </w:r>
    </w:p>
    <w:p>
      <w:pPr>
        <w:pStyle w:val="5"/>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rPr>
        <w:t>表五：</w:t>
      </w:r>
      <w:r>
        <w:rPr>
          <w:rFonts w:ascii="方正小标宋简体" w:hAnsi="方正小标宋简体" w:eastAsia="方正小标宋简体"/>
          <w:sz w:val="36"/>
          <w:szCs w:val="36"/>
        </w:rPr>
        <w:t>一般</w:t>
      </w:r>
      <w:r>
        <w:rPr>
          <w:rFonts w:ascii="方正小标宋简体" w:hAnsi="方正小标宋简体" w:eastAsia="方正小标宋简体" w:cs="宋体"/>
          <w:kern w:val="0"/>
          <w:sz w:val="36"/>
          <w:szCs w:val="36"/>
        </w:rPr>
        <w:t>公共预算财政拨款支出决算表</w:t>
      </w:r>
    </w:p>
    <w:p>
      <w:pPr>
        <w:pStyle w:val="5"/>
        <w:jc w:val="center"/>
        <w:rPr>
          <w:rFonts w:ascii="宋体" w:hAnsi="宋体" w:cs="宋体"/>
          <w:kern w:val="0"/>
          <w:sz w:val="22"/>
          <w:szCs w:val="22"/>
        </w:rPr>
      </w:pPr>
      <w:r>
        <w:rPr>
          <w:rFonts w:ascii="宋体" w:hAnsi="宋体" w:cs="宋体"/>
          <w:kern w:val="0"/>
          <w:sz w:val="22"/>
          <w:szCs w:val="22"/>
        </w:rPr>
        <w:t xml:space="preserve">                                                                                                       单位：万元</w:t>
      </w:r>
    </w:p>
    <w:tbl>
      <w:tblPr>
        <w:tblStyle w:val="3"/>
        <w:tblW w:w="14049" w:type="dxa"/>
        <w:jc w:val="center"/>
        <w:tblLayout w:type="fixed"/>
        <w:tblCellMar>
          <w:top w:w="0" w:type="dxa"/>
          <w:left w:w="108" w:type="dxa"/>
          <w:bottom w:w="0" w:type="dxa"/>
          <w:right w:w="108" w:type="dxa"/>
        </w:tblCellMar>
      </w:tblPr>
      <w:tblGrid>
        <w:gridCol w:w="1282"/>
        <w:gridCol w:w="4372"/>
        <w:gridCol w:w="2480"/>
        <w:gridCol w:w="3029"/>
        <w:gridCol w:w="2886"/>
      </w:tblGrid>
      <w:tr>
        <w:tblPrEx>
          <w:tblCellMar>
            <w:top w:w="0" w:type="dxa"/>
            <w:left w:w="108" w:type="dxa"/>
            <w:bottom w:w="0" w:type="dxa"/>
            <w:right w:w="108" w:type="dxa"/>
          </w:tblCellMar>
        </w:tblPrEx>
        <w:trPr>
          <w:trHeight w:val="300" w:hRule="atLeast"/>
          <w:jc w:val="center"/>
        </w:trPr>
        <w:tc>
          <w:tcPr>
            <w:tcW w:w="5654" w:type="dxa"/>
            <w:gridSpan w:val="2"/>
            <w:tcBorders>
              <w:top w:val="single" w:color="000000" w:sz="4" w:space="0"/>
              <w:left w:val="single" w:color="000000" w:sz="4" w:space="0"/>
              <w:bottom w:val="single" w:color="000000" w:sz="4" w:space="0"/>
              <w:right w:val="single" w:color="000000" w:sz="4" w:space="0"/>
            </w:tcBorders>
            <w:vAlign w:val="center"/>
          </w:tcPr>
          <w:p>
            <w:pPr>
              <w:pStyle w:val="5"/>
              <w:jc w:val="center"/>
              <w:rPr>
                <w:rFonts w:ascii="Arial" w:hAnsi="Arial" w:cs="Arial"/>
                <w:color w:val="000000"/>
                <w:kern w:val="0"/>
                <w:sz w:val="24"/>
              </w:rPr>
            </w:pPr>
            <w:r>
              <w:rPr>
                <w:rFonts w:ascii="MingLiU" w:hAnsi="MingLiU" w:cs="Arial"/>
                <w:kern w:val="0"/>
                <w:sz w:val="24"/>
                <w:lang w:bidi="hi-IN"/>
              </w:rPr>
              <w:t>支出功能</w:t>
            </w:r>
            <w:r>
              <w:rPr>
                <w:rFonts w:ascii="MingLiU" w:hAnsi="MingLiU" w:eastAsia="MingLiU" w:cs="Arial"/>
                <w:kern w:val="0"/>
                <w:sz w:val="24"/>
                <w:lang w:bidi="hi-IN"/>
              </w:rPr>
              <w:t>项 目</w:t>
            </w:r>
          </w:p>
        </w:tc>
        <w:tc>
          <w:tcPr>
            <w:tcW w:w="2480"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Arial" w:hAnsi="Arial" w:cs="Arial"/>
                <w:color w:val="000000"/>
                <w:kern w:val="0"/>
                <w:sz w:val="24"/>
              </w:rPr>
            </w:pPr>
            <w:r>
              <w:rPr>
                <w:rFonts w:ascii="MingLiU" w:hAnsi="MingLiU" w:eastAsia="MingLiU" w:cs="Arial"/>
                <w:kern w:val="0"/>
                <w:sz w:val="24"/>
                <w:lang w:bidi="hi-IN"/>
              </w:rPr>
              <w:t>合计</w:t>
            </w:r>
          </w:p>
        </w:tc>
        <w:tc>
          <w:tcPr>
            <w:tcW w:w="3029"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Arial" w:hAnsi="Arial" w:cs="Arial"/>
                <w:color w:val="000000"/>
                <w:kern w:val="0"/>
                <w:sz w:val="24"/>
              </w:rPr>
            </w:pPr>
            <w:r>
              <w:rPr>
                <w:rFonts w:ascii="MingLiU" w:hAnsi="MingLiU" w:eastAsia="MingLiU" w:cs="Arial"/>
                <w:kern w:val="0"/>
                <w:sz w:val="24"/>
                <w:lang w:bidi="hi-IN"/>
              </w:rPr>
              <w:t>基本支出</w:t>
            </w:r>
          </w:p>
        </w:tc>
        <w:tc>
          <w:tcPr>
            <w:tcW w:w="2886" w:type="dxa"/>
            <w:vMerge w:val="restart"/>
            <w:tcBorders>
              <w:top w:val="single" w:color="000000" w:sz="4" w:space="0"/>
              <w:left w:val="single" w:color="000000" w:sz="4" w:space="0"/>
              <w:bottom w:val="single" w:color="000000" w:sz="4" w:space="0"/>
              <w:right w:val="single" w:color="000000" w:sz="4" w:space="0"/>
            </w:tcBorders>
            <w:vAlign w:val="center"/>
          </w:tcPr>
          <w:p>
            <w:pPr>
              <w:pStyle w:val="5"/>
              <w:jc w:val="center"/>
              <w:rPr>
                <w:rFonts w:ascii="Arial" w:hAnsi="Arial" w:cs="Arial"/>
                <w:color w:val="000000"/>
                <w:kern w:val="0"/>
                <w:sz w:val="24"/>
              </w:rPr>
            </w:pPr>
            <w:r>
              <w:rPr>
                <w:rFonts w:ascii="MingLiU" w:hAnsi="MingLiU" w:eastAsia="MingLiU" w:cs="Arial"/>
                <w:kern w:val="0"/>
                <w:sz w:val="24"/>
                <w:lang w:bidi="hi-IN"/>
              </w:rPr>
              <w:t>项目支出</w:t>
            </w:r>
          </w:p>
        </w:tc>
      </w:tr>
      <w:tr>
        <w:tblPrEx>
          <w:tblCellMar>
            <w:top w:w="0" w:type="dxa"/>
            <w:left w:w="108" w:type="dxa"/>
            <w:bottom w:w="0" w:type="dxa"/>
            <w:right w:w="108" w:type="dxa"/>
          </w:tblCellMar>
        </w:tblPrEx>
        <w:trPr>
          <w:trHeight w:val="300" w:hRule="atLeast"/>
          <w:jc w:val="center"/>
        </w:trPr>
        <w:tc>
          <w:tcPr>
            <w:tcW w:w="1282" w:type="dxa"/>
            <w:tcBorders>
              <w:left w:val="single" w:color="000000" w:sz="4" w:space="0"/>
              <w:bottom w:val="single" w:color="000000" w:sz="4" w:space="0"/>
              <w:right w:val="single" w:color="000000" w:sz="4" w:space="0"/>
            </w:tcBorders>
            <w:vAlign w:val="center"/>
          </w:tcPr>
          <w:p>
            <w:pPr>
              <w:pStyle w:val="5"/>
              <w:rPr>
                <w:rFonts w:ascii="MingLiU" w:hAnsi="MingLiU" w:eastAsia="MingLiU" w:cs="Arial"/>
                <w:kern w:val="0"/>
                <w:sz w:val="24"/>
              </w:rPr>
            </w:pPr>
            <w:r>
              <w:rPr>
                <w:rFonts w:ascii="MingLiU" w:hAnsi="MingLiU" w:cs="Arial"/>
                <w:kern w:val="0"/>
                <w:sz w:val="24"/>
                <w:lang w:bidi="hi-IN"/>
              </w:rPr>
              <w:t>支出功能分类</w:t>
            </w:r>
            <w:r>
              <w:rPr>
                <w:rFonts w:ascii="MingLiU" w:hAnsi="MingLiU" w:eastAsia="MingLiU" w:cs="Arial"/>
                <w:kern w:val="0"/>
                <w:sz w:val="24"/>
                <w:lang w:bidi="hi-IN"/>
              </w:rPr>
              <w:t>科目编码</w:t>
            </w:r>
          </w:p>
        </w:tc>
        <w:tc>
          <w:tcPr>
            <w:tcW w:w="4372" w:type="dxa"/>
            <w:tcBorders>
              <w:bottom w:val="single" w:color="000000" w:sz="4" w:space="0"/>
              <w:right w:val="single" w:color="000000" w:sz="4" w:space="0"/>
            </w:tcBorders>
            <w:vAlign w:val="center"/>
          </w:tcPr>
          <w:p>
            <w:pPr>
              <w:pStyle w:val="5"/>
              <w:jc w:val="center"/>
              <w:rPr>
                <w:rFonts w:ascii="Arial" w:hAnsi="Arial" w:cs="Arial"/>
                <w:color w:val="000000"/>
                <w:kern w:val="0"/>
                <w:sz w:val="24"/>
              </w:rPr>
            </w:pPr>
            <w:r>
              <w:rPr>
                <w:rFonts w:ascii="MingLiU" w:hAnsi="MingLiU" w:eastAsia="MingLiU" w:cs="Arial"/>
                <w:kern w:val="0"/>
                <w:sz w:val="24"/>
                <w:lang w:bidi="hi-IN"/>
              </w:rPr>
              <w:t>科目名称</w:t>
            </w:r>
          </w:p>
        </w:tc>
        <w:tc>
          <w:tcPr>
            <w:tcW w:w="2480"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p>
        </w:tc>
        <w:tc>
          <w:tcPr>
            <w:tcW w:w="3029"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p>
        </w:tc>
        <w:tc>
          <w:tcPr>
            <w:tcW w:w="2886"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p>
        </w:tc>
      </w:tr>
      <w:tr>
        <w:tblPrEx>
          <w:tblCellMar>
            <w:top w:w="0" w:type="dxa"/>
            <w:left w:w="108" w:type="dxa"/>
            <w:bottom w:w="0" w:type="dxa"/>
            <w:right w:w="108" w:type="dxa"/>
          </w:tblCellMar>
        </w:tblPrEx>
        <w:trPr>
          <w:trHeight w:val="264" w:hRule="atLeast"/>
          <w:jc w:val="center"/>
        </w:trPr>
        <w:tc>
          <w:tcPr>
            <w:tcW w:w="5654"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Arial" w:hAnsi="Arial" w:cs="Arial"/>
                <w:color w:val="000000"/>
                <w:kern w:val="0"/>
                <w:sz w:val="24"/>
              </w:rPr>
            </w:pPr>
            <w:r>
              <w:rPr>
                <w:rFonts w:ascii="MingLiU" w:hAnsi="MingLiU" w:eastAsia="MingLiU" w:cs="Arial"/>
                <w:b/>
                <w:bCs/>
                <w:kern w:val="0"/>
                <w:sz w:val="24"/>
                <w:lang w:bidi="hi-IN"/>
              </w:rPr>
              <w:t>栏次</w:t>
            </w:r>
          </w:p>
        </w:tc>
        <w:tc>
          <w:tcPr>
            <w:tcW w:w="2480" w:type="dxa"/>
            <w:tcBorders>
              <w:bottom w:val="single" w:color="000000" w:sz="4" w:space="0"/>
              <w:right w:val="single" w:color="000000" w:sz="4" w:space="0"/>
            </w:tcBorders>
          </w:tcPr>
          <w:p>
            <w:pPr>
              <w:pStyle w:val="5"/>
              <w:jc w:val="center"/>
              <w:rPr>
                <w:rFonts w:ascii="Arial" w:hAnsi="Arial" w:cs="Arial"/>
                <w:color w:val="000000"/>
                <w:kern w:val="0"/>
                <w:sz w:val="24"/>
              </w:rPr>
            </w:pPr>
            <w:r>
              <w:rPr>
                <w:rFonts w:ascii="Arial" w:hAnsi="Arial" w:cs="Arial"/>
                <w:color w:val="000000"/>
                <w:kern w:val="0"/>
                <w:sz w:val="24"/>
                <w:lang w:bidi="hi-IN"/>
              </w:rPr>
              <w:t>1</w:t>
            </w:r>
          </w:p>
        </w:tc>
        <w:tc>
          <w:tcPr>
            <w:tcW w:w="3029" w:type="dxa"/>
            <w:tcBorders>
              <w:bottom w:val="single" w:color="000000" w:sz="4" w:space="0"/>
              <w:right w:val="single" w:color="000000" w:sz="4" w:space="0"/>
            </w:tcBorders>
          </w:tcPr>
          <w:p>
            <w:pPr>
              <w:pStyle w:val="5"/>
              <w:jc w:val="center"/>
              <w:rPr>
                <w:rFonts w:ascii="Arial" w:hAnsi="Arial" w:cs="Arial"/>
                <w:color w:val="000000"/>
                <w:kern w:val="0"/>
                <w:sz w:val="24"/>
              </w:rPr>
            </w:pPr>
            <w:r>
              <w:rPr>
                <w:rFonts w:ascii="Arial" w:hAnsi="Arial" w:cs="Arial"/>
                <w:color w:val="000000"/>
                <w:kern w:val="0"/>
                <w:sz w:val="24"/>
                <w:lang w:bidi="hi-IN"/>
              </w:rPr>
              <w:t>2</w:t>
            </w:r>
          </w:p>
        </w:tc>
        <w:tc>
          <w:tcPr>
            <w:tcW w:w="2886" w:type="dxa"/>
            <w:tcBorders>
              <w:bottom w:val="single" w:color="000000" w:sz="4" w:space="0"/>
              <w:right w:val="single" w:color="000000" w:sz="4" w:space="0"/>
            </w:tcBorders>
          </w:tcPr>
          <w:p>
            <w:pPr>
              <w:pStyle w:val="5"/>
              <w:jc w:val="center"/>
              <w:rPr>
                <w:rFonts w:ascii="Arial" w:hAnsi="Arial" w:cs="Arial"/>
                <w:color w:val="000000"/>
                <w:kern w:val="0"/>
                <w:sz w:val="24"/>
              </w:rPr>
            </w:pPr>
            <w:r>
              <w:rPr>
                <w:rFonts w:ascii="Arial" w:hAnsi="Arial" w:cs="Arial"/>
                <w:color w:val="000000"/>
                <w:kern w:val="0"/>
                <w:sz w:val="24"/>
                <w:lang w:bidi="hi-IN"/>
              </w:rPr>
              <w:t>3</w:t>
            </w:r>
          </w:p>
        </w:tc>
      </w:tr>
      <w:tr>
        <w:tblPrEx>
          <w:tblCellMar>
            <w:top w:w="0" w:type="dxa"/>
            <w:left w:w="108" w:type="dxa"/>
            <w:bottom w:w="0" w:type="dxa"/>
            <w:right w:w="108" w:type="dxa"/>
          </w:tblCellMar>
        </w:tblPrEx>
        <w:trPr>
          <w:trHeight w:val="300" w:hRule="atLeast"/>
          <w:jc w:val="center"/>
        </w:trPr>
        <w:tc>
          <w:tcPr>
            <w:tcW w:w="5654" w:type="dxa"/>
            <w:gridSpan w:val="2"/>
            <w:tcBorders>
              <w:top w:val="single" w:color="000000" w:sz="4" w:space="0"/>
              <w:left w:val="single" w:color="000000" w:sz="4" w:space="0"/>
              <w:bottom w:val="single" w:color="000000" w:sz="4" w:space="0"/>
              <w:right w:val="single" w:color="000000" w:sz="4" w:space="0"/>
            </w:tcBorders>
          </w:tcPr>
          <w:p>
            <w:pPr>
              <w:pStyle w:val="5"/>
              <w:jc w:val="center"/>
              <w:rPr>
                <w:rFonts w:ascii="Arial" w:hAnsi="Arial" w:cs="Arial"/>
                <w:color w:val="000000"/>
                <w:kern w:val="0"/>
                <w:sz w:val="24"/>
              </w:rPr>
            </w:pPr>
            <w:r>
              <w:rPr>
                <w:rFonts w:ascii="MingLiU" w:hAnsi="MingLiU" w:eastAsia="MingLiU" w:cs="Arial"/>
                <w:kern w:val="0"/>
                <w:sz w:val="24"/>
                <w:lang w:bidi="hi-IN"/>
              </w:rPr>
              <w:t>合计</w:t>
            </w:r>
          </w:p>
        </w:tc>
        <w:tc>
          <w:tcPr>
            <w:tcW w:w="2480" w:type="dxa"/>
            <w:tcBorders>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b/>
                <w:bCs/>
                <w:color w:val="000000"/>
                <w:sz w:val="24"/>
                <w:szCs w:val="24"/>
                <w:lang w:bidi="ar"/>
              </w:rPr>
              <w:t>478.29</w:t>
            </w:r>
          </w:p>
        </w:tc>
        <w:tc>
          <w:tcPr>
            <w:tcW w:w="3029" w:type="dxa"/>
            <w:tcBorders>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b/>
                <w:bCs/>
                <w:color w:val="000000"/>
                <w:sz w:val="24"/>
                <w:szCs w:val="24"/>
                <w:lang w:bidi="ar"/>
              </w:rPr>
              <w:t>191.37</w:t>
            </w:r>
          </w:p>
        </w:tc>
        <w:tc>
          <w:tcPr>
            <w:tcW w:w="2886" w:type="dxa"/>
            <w:tcBorders>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b/>
                <w:bCs/>
                <w:color w:val="000000"/>
                <w:sz w:val="24"/>
                <w:szCs w:val="24"/>
                <w:lang w:bidi="ar"/>
              </w:rPr>
              <w:t>286.92</w:t>
            </w:r>
          </w:p>
        </w:tc>
      </w:tr>
      <w:tr>
        <w:tblPrEx>
          <w:tblCellMar>
            <w:top w:w="0" w:type="dxa"/>
            <w:left w:w="108" w:type="dxa"/>
            <w:bottom w:w="0" w:type="dxa"/>
            <w:right w:w="108" w:type="dxa"/>
          </w:tblCellMar>
        </w:tblPrEx>
        <w:trPr>
          <w:trHeight w:val="90"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社会保障和就业支出</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29.41</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29.41</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88"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20805</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行政事业单位离退休</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29.41</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29.41</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2080505</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机关事业单位基本养老保险缴费支出</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20.93</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20.93</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2080506</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 xml:space="preserve">  机关事业单位职业年金缴费支出</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8.49</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8.49</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210</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卫生健康支出</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9.89</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9.89</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21011</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行政事业单位医疗</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9.89</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9.89</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2101102</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事业单位医疗</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9.89</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9.89</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节能环保支出</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423.30</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136.38</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286.92</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21101</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环境保护管理事务</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230.43</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230.43</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2110104</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环境保护宣传</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18.83</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18.83</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2110199</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其他环境保护管理事务支出</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211.60</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211.60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21103</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污染防治</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40.00</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2110399</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其他污染防治支出</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40.00</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40.00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21111</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污染减排</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152.87</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136.38</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16.49</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2111101</w:t>
            </w:r>
          </w:p>
        </w:tc>
        <w:tc>
          <w:tcPr>
            <w:tcW w:w="4372" w:type="dxa"/>
            <w:tcBorders>
              <w:top w:val="single" w:color="000000" w:sz="4" w:space="0"/>
              <w:left w:val="single" w:color="000000" w:sz="4" w:space="0"/>
              <w:bottom w:val="single" w:color="000000" w:sz="4" w:space="0"/>
              <w:right w:val="single" w:color="000000" w:sz="4" w:space="0"/>
            </w:tcBorders>
            <w:vAlign w:val="center"/>
          </w:tcPr>
          <w:p>
            <w:pPr>
              <w:pStyle w:val="5"/>
              <w:jc w:val="left"/>
              <w:rPr>
                <w:rFonts w:ascii="Arial" w:hAnsi="Arial" w:cs="Arial"/>
                <w:color w:val="000000"/>
                <w:kern w:val="0"/>
                <w:sz w:val="24"/>
              </w:rPr>
            </w:pPr>
            <w:r>
              <w:rPr>
                <w:rFonts w:ascii="宋体" w:hAnsi="宋体" w:cs="Arial"/>
                <w:color w:val="000000"/>
                <w:kern w:val="0"/>
                <w:sz w:val="24"/>
                <w:lang w:bidi="hi-IN"/>
              </w:rPr>
              <w:t xml:space="preserve">  环境监测与信息</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152.87</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136.38</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16.49</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221</w:t>
            </w:r>
          </w:p>
        </w:tc>
        <w:tc>
          <w:tcPr>
            <w:tcW w:w="4372"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住房保障支出</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15.69</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15.69</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22102</w:t>
            </w:r>
          </w:p>
        </w:tc>
        <w:tc>
          <w:tcPr>
            <w:tcW w:w="4372"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住房改革支出</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15.69</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15.69</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r>
        <w:tblPrEx>
          <w:tblCellMar>
            <w:top w:w="0" w:type="dxa"/>
            <w:left w:w="108" w:type="dxa"/>
            <w:bottom w:w="0" w:type="dxa"/>
            <w:right w:w="108" w:type="dxa"/>
          </w:tblCellMar>
        </w:tblPrEx>
        <w:trPr>
          <w:trHeight w:val="264" w:hRule="atLeast"/>
          <w:jc w:val="center"/>
        </w:trPr>
        <w:tc>
          <w:tcPr>
            <w:tcW w:w="1282"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2210201</w:t>
            </w:r>
          </w:p>
        </w:tc>
        <w:tc>
          <w:tcPr>
            <w:tcW w:w="4372" w:type="dxa"/>
            <w:tcBorders>
              <w:top w:val="single" w:color="000000" w:sz="4" w:space="0"/>
              <w:left w:val="single" w:color="000000" w:sz="4" w:space="0"/>
              <w:bottom w:val="single" w:color="000000" w:sz="4" w:space="0"/>
              <w:right w:val="single" w:color="000000" w:sz="4" w:space="0"/>
            </w:tcBorders>
          </w:tcPr>
          <w:p>
            <w:pPr>
              <w:pStyle w:val="5"/>
              <w:jc w:val="left"/>
              <w:rPr>
                <w:rFonts w:ascii="Arial" w:hAnsi="Arial" w:cs="Arial"/>
                <w:color w:val="000000"/>
                <w:kern w:val="0"/>
                <w:sz w:val="24"/>
              </w:rPr>
            </w:pPr>
            <w:r>
              <w:rPr>
                <w:sz w:val="24"/>
                <w:lang w:bidi="hi-IN"/>
              </w:rPr>
              <w:t xml:space="preserve">  住房公积金</w:t>
            </w:r>
          </w:p>
        </w:tc>
        <w:tc>
          <w:tcPr>
            <w:tcW w:w="24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15.69</w:t>
            </w:r>
          </w:p>
        </w:tc>
        <w:tc>
          <w:tcPr>
            <w:tcW w:w="30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15.69</w:t>
            </w:r>
          </w:p>
        </w:tc>
        <w:tc>
          <w:tcPr>
            <w:tcW w:w="288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Arial" w:hAnsi="Arial" w:cs="Arial"/>
                <w:color w:val="000000"/>
                <w:sz w:val="24"/>
                <w:szCs w:val="24"/>
              </w:rPr>
            </w:pPr>
            <w:r>
              <w:rPr>
                <w:rFonts w:hint="eastAsia" w:ascii="宋体" w:hAnsi="宋体" w:cs="宋体"/>
                <w:color w:val="000000"/>
                <w:sz w:val="24"/>
                <w:szCs w:val="24"/>
                <w:lang w:bidi="ar"/>
              </w:rPr>
              <w:t>0.00</w:t>
            </w:r>
          </w:p>
        </w:tc>
      </w:tr>
    </w:tbl>
    <w:p>
      <w:pPr>
        <w:pStyle w:val="5"/>
        <w:rPr>
          <w:sz w:val="24"/>
        </w:rPr>
      </w:pPr>
    </w:p>
    <w:p>
      <w:pPr>
        <w:pStyle w:val="5"/>
        <w:sectPr>
          <w:headerReference r:id="rId5" w:type="default"/>
          <w:footerReference r:id="rId6" w:type="default"/>
          <w:pgSz w:w="16838" w:h="11906" w:orient="landscape"/>
          <w:pgMar w:top="1377" w:right="1440" w:bottom="1797" w:left="1440" w:header="851" w:footer="992" w:gutter="0"/>
          <w:cols w:space="720" w:num="1"/>
          <w:formProt w:val="0"/>
          <w:docGrid w:type="lines" w:linePitch="312" w:charSpace="91954"/>
        </w:sectPr>
      </w:pPr>
      <w:r>
        <w:rPr>
          <w:sz w:val="24"/>
        </w:rPr>
        <w:t>注：本表反映部门本年度一般公共预算财政拨款实际支出情况。</w:t>
      </w:r>
    </w:p>
    <w:p>
      <w:pPr>
        <w:pStyle w:val="5"/>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rPr>
        <w:t>表六</w:t>
      </w:r>
      <w:r>
        <w:rPr>
          <w:rFonts w:ascii="方正小标宋简体" w:hAnsi="方正小标宋简体" w:eastAsia="方正小标宋简体" w:cs="宋体"/>
          <w:color w:val="000000"/>
          <w:kern w:val="0"/>
          <w:sz w:val="36"/>
          <w:szCs w:val="36"/>
        </w:rPr>
        <w:t>：</w:t>
      </w:r>
      <w:r>
        <w:rPr>
          <w:rFonts w:ascii="方正小标宋简体" w:hAnsi="方正小标宋简体" w:eastAsia="方正小标宋简体"/>
          <w:color w:val="000000"/>
          <w:sz w:val="36"/>
          <w:szCs w:val="36"/>
        </w:rPr>
        <w:t>一般</w:t>
      </w:r>
      <w:r>
        <w:rPr>
          <w:rFonts w:ascii="方正小标宋简体" w:hAnsi="方正小标宋简体" w:eastAsia="方正小标宋简体" w:cs="宋体"/>
          <w:color w:val="000000"/>
          <w:kern w:val="0"/>
          <w:sz w:val="36"/>
          <w:szCs w:val="36"/>
        </w:rPr>
        <w:t>公共预算财政拨</w:t>
      </w:r>
      <w:r>
        <w:rPr>
          <w:rFonts w:ascii="方正小标宋简体" w:hAnsi="方正小标宋简体" w:eastAsia="方正小标宋简体" w:cs="宋体"/>
          <w:kern w:val="0"/>
          <w:sz w:val="36"/>
          <w:szCs w:val="36"/>
        </w:rPr>
        <w:t>款基本支出决算表</w:t>
      </w:r>
    </w:p>
    <w:p>
      <w:pPr>
        <w:pStyle w:val="5"/>
        <w:ind w:right="330"/>
        <w:jc w:val="right"/>
        <w:rPr>
          <w:rFonts w:ascii="宋体" w:hAnsi="宋体" w:cs="宋体"/>
          <w:kern w:val="0"/>
          <w:sz w:val="24"/>
        </w:rPr>
      </w:pPr>
      <w:r>
        <w:rPr>
          <w:rFonts w:ascii="宋体" w:hAnsi="宋体" w:cs="宋体"/>
          <w:kern w:val="0"/>
          <w:sz w:val="24"/>
        </w:rPr>
        <w:t>单位：万元</w:t>
      </w:r>
    </w:p>
    <w:tbl>
      <w:tblPr>
        <w:tblStyle w:val="3"/>
        <w:tblpPr w:leftFromText="180" w:rightFromText="180" w:vertAnchor="text" w:horzAnchor="page" w:tblpX="1147" w:tblpY="347"/>
        <w:tblW w:w="10124" w:type="dxa"/>
        <w:tblInd w:w="0" w:type="dxa"/>
        <w:tblLayout w:type="fixed"/>
        <w:tblCellMar>
          <w:top w:w="0" w:type="dxa"/>
          <w:left w:w="108" w:type="dxa"/>
          <w:bottom w:w="0" w:type="dxa"/>
          <w:right w:w="108" w:type="dxa"/>
        </w:tblCellMar>
      </w:tblPr>
      <w:tblGrid>
        <w:gridCol w:w="990"/>
        <w:gridCol w:w="2804"/>
        <w:gridCol w:w="1567"/>
        <w:gridCol w:w="848"/>
        <w:gridCol w:w="2462"/>
        <w:gridCol w:w="1453"/>
      </w:tblGrid>
      <w:tr>
        <w:tblPrEx>
          <w:tblCellMar>
            <w:top w:w="0" w:type="dxa"/>
            <w:left w:w="108" w:type="dxa"/>
            <w:bottom w:w="0" w:type="dxa"/>
            <w:right w:w="108" w:type="dxa"/>
          </w:tblCellMar>
        </w:tblPrEx>
        <w:trPr>
          <w:trHeight w:val="564" w:hRule="atLeast"/>
        </w:trPr>
        <w:tc>
          <w:tcPr>
            <w:tcW w:w="5361" w:type="dxa"/>
            <w:gridSpan w:val="3"/>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color w:val="000000"/>
                <w:kern w:val="0"/>
                <w:sz w:val="24"/>
                <w:lang w:bidi="hi-IN"/>
              </w:rPr>
              <w:t>人员经费</w:t>
            </w:r>
          </w:p>
        </w:tc>
        <w:tc>
          <w:tcPr>
            <w:tcW w:w="4763" w:type="dxa"/>
            <w:gridSpan w:val="3"/>
            <w:tcBorders>
              <w:top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color w:val="000000"/>
                <w:kern w:val="0"/>
                <w:sz w:val="24"/>
                <w:lang w:bidi="hi-IN"/>
              </w:rPr>
              <w:t>公用经费</w:t>
            </w:r>
          </w:p>
        </w:tc>
      </w:tr>
      <w:tr>
        <w:tblPrEx>
          <w:tblCellMar>
            <w:top w:w="0" w:type="dxa"/>
            <w:left w:w="108" w:type="dxa"/>
            <w:bottom w:w="0" w:type="dxa"/>
            <w:right w:w="108" w:type="dxa"/>
          </w:tblCellMar>
        </w:tblPrEx>
        <w:trPr>
          <w:trHeight w:val="1223" w:hRule="atLeast"/>
        </w:trPr>
        <w:tc>
          <w:tcPr>
            <w:tcW w:w="990" w:type="dxa"/>
            <w:tcBorders>
              <w:left w:val="single" w:color="000000" w:sz="4" w:space="0"/>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支出经济分类科目编码</w:t>
            </w:r>
          </w:p>
        </w:tc>
        <w:tc>
          <w:tcPr>
            <w:tcW w:w="2804" w:type="dxa"/>
            <w:tcBorders>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科目名称</w:t>
            </w:r>
          </w:p>
        </w:tc>
        <w:tc>
          <w:tcPr>
            <w:tcW w:w="1567" w:type="dxa"/>
            <w:tcBorders>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金额</w:t>
            </w:r>
          </w:p>
        </w:tc>
        <w:tc>
          <w:tcPr>
            <w:tcW w:w="848" w:type="dxa"/>
            <w:tcBorders>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经济分类科目编码</w:t>
            </w:r>
          </w:p>
        </w:tc>
        <w:tc>
          <w:tcPr>
            <w:tcW w:w="2462" w:type="dxa"/>
            <w:tcBorders>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科目名称</w:t>
            </w:r>
          </w:p>
        </w:tc>
        <w:tc>
          <w:tcPr>
            <w:tcW w:w="1453" w:type="dxa"/>
            <w:tcBorders>
              <w:bottom w:val="single" w:color="000000" w:sz="4" w:space="0"/>
              <w:right w:val="single" w:color="000000" w:sz="4" w:space="0"/>
            </w:tcBorders>
            <w:vAlign w:val="bottom"/>
          </w:tcPr>
          <w:p>
            <w:pPr>
              <w:pStyle w:val="5"/>
              <w:jc w:val="center"/>
              <w:rPr>
                <w:rFonts w:ascii="宋体" w:hAnsi="宋体" w:cs="Arial"/>
                <w:color w:val="000000"/>
                <w:kern w:val="0"/>
                <w:sz w:val="24"/>
              </w:rPr>
            </w:pPr>
            <w:r>
              <w:rPr>
                <w:rFonts w:ascii="宋体" w:hAnsi="宋体" w:cs="Arial"/>
                <w:color w:val="000000"/>
                <w:kern w:val="0"/>
                <w:sz w:val="24"/>
                <w:lang w:bidi="hi-IN"/>
              </w:rPr>
              <w:t>金额</w:t>
            </w:r>
          </w:p>
        </w:tc>
      </w:tr>
      <w:tr>
        <w:tblPrEx>
          <w:tblCellMar>
            <w:top w:w="0" w:type="dxa"/>
            <w:left w:w="108" w:type="dxa"/>
            <w:bottom w:w="0" w:type="dxa"/>
            <w:right w:w="108" w:type="dxa"/>
          </w:tblCellMar>
        </w:tblPrEx>
        <w:trPr>
          <w:trHeight w:val="264"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工资福利支出</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174.33</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商品和服务支出</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17.04</w:t>
            </w:r>
          </w:p>
        </w:tc>
      </w:tr>
      <w:tr>
        <w:tblPrEx>
          <w:tblCellMar>
            <w:top w:w="0" w:type="dxa"/>
            <w:left w:w="108" w:type="dxa"/>
            <w:bottom w:w="0" w:type="dxa"/>
            <w:right w:w="108" w:type="dxa"/>
          </w:tblCellMar>
        </w:tblPrEx>
        <w:trPr>
          <w:trHeight w:val="264"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30101</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基本工资</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39.44</w:t>
            </w:r>
          </w:p>
        </w:tc>
        <w:tc>
          <w:tcPr>
            <w:tcW w:w="848"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30201</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办公费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0.76</w:t>
            </w:r>
          </w:p>
        </w:tc>
      </w:tr>
      <w:tr>
        <w:tblPrEx>
          <w:tblCellMar>
            <w:top w:w="0" w:type="dxa"/>
            <w:left w:w="108" w:type="dxa"/>
            <w:bottom w:w="0" w:type="dxa"/>
            <w:right w:w="108" w:type="dxa"/>
          </w:tblCellMar>
        </w:tblPrEx>
        <w:trPr>
          <w:trHeight w:val="264"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30102</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津贴补贴</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2.16</w:t>
            </w:r>
          </w:p>
        </w:tc>
        <w:tc>
          <w:tcPr>
            <w:tcW w:w="848"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30202</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印刷费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0.33</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30103</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奖金</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0.30</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30203</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咨询费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30107</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绩效工资</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75.42</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30204</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手续费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30108</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机关事业单位基本养老保险缴费</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20.93</w:t>
            </w:r>
          </w:p>
        </w:tc>
        <w:tc>
          <w:tcPr>
            <w:tcW w:w="848"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30205</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水费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0.28</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30109</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职业年金缴费</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8.49</w:t>
            </w:r>
          </w:p>
        </w:tc>
        <w:tc>
          <w:tcPr>
            <w:tcW w:w="848"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30206</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电费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0.88</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30110</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职工基本医疗保险缴费</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9.89</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30207</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邮电费</w:t>
            </w:r>
          </w:p>
        </w:tc>
        <w:tc>
          <w:tcPr>
            <w:tcW w:w="1453"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0.72</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30111</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公务员医疗补助缴费</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30209</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物业管理费</w:t>
            </w:r>
          </w:p>
        </w:tc>
        <w:tc>
          <w:tcPr>
            <w:tcW w:w="1453" w:type="dxa"/>
            <w:tcBorders>
              <w:bottom w:val="single" w:color="000000" w:sz="4" w:space="0"/>
              <w:right w:val="single" w:color="000000" w:sz="4" w:space="0"/>
            </w:tcBorders>
            <w:vAlign w:val="center"/>
          </w:tcPr>
          <w:p>
            <w:pPr>
              <w:pStyle w:val="5"/>
              <w:jc w:val="right"/>
              <w:rPr>
                <w:rFonts w:ascii="宋体" w:hAnsi="宋体" w:cs="Arial"/>
                <w:color w:val="000000"/>
                <w:kern w:val="0"/>
                <w:sz w:val="24"/>
              </w:rPr>
            </w:pPr>
            <w:r>
              <w:rPr>
                <w:rFonts w:hint="eastAsia" w:ascii="宋体" w:hAnsi="宋体" w:cs="Arial"/>
                <w:color w:val="000000"/>
                <w:kern w:val="0"/>
                <w:sz w:val="24"/>
                <w:lang w:bidi="hi-IN"/>
              </w:rPr>
              <w:t>0.22</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30112</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其他社会保障缴费</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2.01</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30211</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差旅费</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r>
              <w:rPr>
                <w:rFonts w:hint="eastAsia" w:ascii="宋体" w:hAnsi="宋体" w:cs="Arial"/>
                <w:color w:val="000000"/>
                <w:kern w:val="0"/>
                <w:sz w:val="24"/>
              </w:rPr>
              <w:t>3.63</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30113</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住房公积金</w:t>
            </w:r>
          </w:p>
        </w:tc>
        <w:tc>
          <w:tcPr>
            <w:tcW w:w="1567" w:type="dxa"/>
            <w:tcBorders>
              <w:bottom w:val="single" w:color="000000" w:sz="4" w:space="0"/>
              <w:right w:val="single" w:color="000000" w:sz="4" w:space="0"/>
            </w:tcBorders>
            <w:vAlign w:val="center"/>
          </w:tcPr>
          <w:p>
            <w:pPr>
              <w:widowControl/>
              <w:jc w:val="right"/>
              <w:textAlignment w:val="center"/>
              <w:rPr>
                <w:rFonts w:ascii="宋体" w:hAnsi="宋体" w:cs="Arial"/>
                <w:color w:val="000000"/>
                <w:sz w:val="24"/>
                <w:szCs w:val="24"/>
              </w:rPr>
            </w:pPr>
            <w:r>
              <w:rPr>
                <w:rFonts w:hint="eastAsia" w:ascii="宋体" w:hAnsi="宋体" w:cs="宋体"/>
                <w:color w:val="000000"/>
                <w:sz w:val="24"/>
                <w:szCs w:val="24"/>
                <w:lang w:bidi="ar"/>
              </w:rPr>
              <w:t>15.69</w:t>
            </w: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30213</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维修（护）费</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r>
              <w:rPr>
                <w:rFonts w:hint="eastAsia" w:ascii="宋体" w:hAnsi="宋体" w:cs="Arial"/>
                <w:color w:val="000000"/>
                <w:kern w:val="0"/>
                <w:sz w:val="24"/>
              </w:rPr>
              <w:t>0.44</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textAlignment w:val="center"/>
              <w:rPr>
                <w:rFonts w:ascii="宋体" w:hAnsi="宋体" w:cs="Arial"/>
                <w:color w:val="000000"/>
                <w:kern w:val="0"/>
                <w:sz w:val="24"/>
              </w:rPr>
            </w:pPr>
            <w:r>
              <w:rPr>
                <w:rFonts w:ascii="宋体" w:hAnsi="宋体" w:cs="宋体"/>
                <w:color w:val="000000"/>
                <w:kern w:val="0"/>
                <w:sz w:val="24"/>
                <w:lang w:bidi="ar"/>
              </w:rPr>
              <w:t>30199</w:t>
            </w:r>
          </w:p>
        </w:tc>
        <w:tc>
          <w:tcPr>
            <w:tcW w:w="2804" w:type="dxa"/>
            <w:tcBorders>
              <w:bottom w:val="single" w:color="000000" w:sz="4" w:space="0"/>
              <w:right w:val="single" w:color="000000" w:sz="4" w:space="0"/>
            </w:tcBorders>
            <w:vAlign w:val="center"/>
          </w:tcPr>
          <w:p>
            <w:pPr>
              <w:pStyle w:val="5"/>
              <w:jc w:val="left"/>
              <w:textAlignment w:val="center"/>
              <w:rPr>
                <w:rFonts w:ascii="宋体" w:hAnsi="宋体" w:cs="Arial"/>
                <w:kern w:val="0"/>
                <w:sz w:val="24"/>
              </w:rPr>
            </w:pPr>
            <w:r>
              <w:rPr>
                <w:rFonts w:ascii="宋体" w:hAnsi="宋体" w:cs="宋体"/>
                <w:color w:val="000000"/>
                <w:kern w:val="0"/>
                <w:sz w:val="24"/>
                <w:lang w:bidi="ar"/>
              </w:rPr>
              <w:t xml:space="preserve">  其他工资福利支出</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30214</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租赁费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对个人和家庭的补助</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30215</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会议费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0.44</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30301</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离休费</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30216</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培训费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0.66</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30302</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退休费</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30217</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公务接待费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0.07</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30303</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退职（役）费</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30226</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劳务费</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30304</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抚恤金</w:t>
            </w:r>
          </w:p>
        </w:tc>
        <w:tc>
          <w:tcPr>
            <w:tcW w:w="1567"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30227</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委托业务费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5.92</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30305</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生活补助</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30228</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工会经费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2.08</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30306</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救济费</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30229</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福利费</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30307</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医疗费补助</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30231</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公务用车运行维护费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r>
              <w:rPr>
                <w:rFonts w:hint="eastAsia" w:ascii="宋体" w:hAnsi="宋体" w:cs="Arial"/>
                <w:color w:val="000000"/>
                <w:kern w:val="0"/>
                <w:sz w:val="24"/>
              </w:rPr>
              <w:t>0.62</w:t>
            </w: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30308</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助学金</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30239</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其他交通费用</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30309</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奖励金</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30299</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其他商品和服务支出</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30310</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 xml:space="preserve">  个人农业生产补贴</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30214</w:t>
            </w:r>
          </w:p>
        </w:tc>
        <w:tc>
          <w:tcPr>
            <w:tcW w:w="2462"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 xml:space="preserve">  租赁费</w:t>
            </w:r>
          </w:p>
        </w:tc>
        <w:tc>
          <w:tcPr>
            <w:tcW w:w="1453" w:type="dxa"/>
            <w:tcBorders>
              <w:bottom w:val="single" w:color="000000" w:sz="4" w:space="0"/>
              <w:right w:val="single" w:color="000000" w:sz="4" w:space="0"/>
            </w:tcBorders>
            <w:vAlign w:val="center"/>
          </w:tcPr>
          <w:p>
            <w:pPr>
              <w:pStyle w:val="5"/>
              <w:jc w:val="right"/>
              <w:textAlignment w:val="center"/>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color w:val="000000"/>
                <w:kern w:val="0"/>
                <w:sz w:val="24"/>
                <w:lang w:bidi="hi-IN"/>
              </w:rPr>
              <w:t>30399</w:t>
            </w: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r>
              <w:rPr>
                <w:rFonts w:ascii="宋体" w:hAnsi="宋体" w:cs="Arial"/>
                <w:kern w:val="0"/>
                <w:sz w:val="24"/>
                <w:lang w:bidi="hi-IN"/>
              </w:rPr>
              <w:t>其他对个人和家庭的补助支出</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310</w:t>
            </w:r>
          </w:p>
        </w:tc>
        <w:tc>
          <w:tcPr>
            <w:tcW w:w="2462"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资本性支出</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567"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31002</w:t>
            </w:r>
          </w:p>
        </w:tc>
        <w:tc>
          <w:tcPr>
            <w:tcW w:w="2462"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办公设备购置</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p>
        </w:tc>
      </w:tr>
      <w:tr>
        <w:tblPrEx>
          <w:tblCellMar>
            <w:top w:w="0" w:type="dxa"/>
            <w:left w:w="108" w:type="dxa"/>
            <w:bottom w:w="0" w:type="dxa"/>
            <w:right w:w="108" w:type="dxa"/>
          </w:tblCellMar>
        </w:tblPrEx>
        <w:trPr>
          <w:trHeight w:val="276" w:hRule="atLeast"/>
        </w:trPr>
        <w:tc>
          <w:tcPr>
            <w:tcW w:w="990" w:type="dxa"/>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2804" w:type="dxa"/>
            <w:tcBorders>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567"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p>
        </w:tc>
        <w:tc>
          <w:tcPr>
            <w:tcW w:w="848"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399</w:t>
            </w:r>
          </w:p>
        </w:tc>
        <w:tc>
          <w:tcPr>
            <w:tcW w:w="2462"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其他支出　</w:t>
            </w:r>
          </w:p>
        </w:tc>
        <w:tc>
          <w:tcPr>
            <w:tcW w:w="1453" w:type="dxa"/>
            <w:tcBorders>
              <w:bottom w:val="single" w:color="000000" w:sz="4" w:space="0"/>
              <w:right w:val="single" w:color="000000" w:sz="4" w:space="0"/>
            </w:tcBorders>
            <w:vAlign w:val="bottom"/>
          </w:tcPr>
          <w:p>
            <w:pPr>
              <w:pStyle w:val="5"/>
              <w:jc w:val="left"/>
              <w:rPr>
                <w:rFonts w:ascii="宋体" w:hAnsi="宋体" w:cs="Arial"/>
                <w:color w:val="000000"/>
                <w:kern w:val="0"/>
                <w:sz w:val="24"/>
              </w:rPr>
            </w:pPr>
            <w:r>
              <w:rPr>
                <w:rFonts w:ascii="宋体" w:hAnsi="宋体" w:cs="Arial"/>
                <w:color w:val="000000"/>
                <w:kern w:val="0"/>
                <w:sz w:val="24"/>
                <w:lang w:bidi="hi-IN"/>
              </w:rPr>
              <w:t>　</w:t>
            </w:r>
          </w:p>
        </w:tc>
      </w:tr>
      <w:tr>
        <w:tblPrEx>
          <w:tblCellMar>
            <w:top w:w="0" w:type="dxa"/>
            <w:left w:w="108" w:type="dxa"/>
            <w:bottom w:w="0" w:type="dxa"/>
            <w:right w:w="108" w:type="dxa"/>
          </w:tblCellMar>
        </w:tblPrEx>
        <w:trPr>
          <w:trHeight w:val="264" w:hRule="atLeast"/>
        </w:trPr>
        <w:tc>
          <w:tcPr>
            <w:tcW w:w="3794" w:type="dxa"/>
            <w:gridSpan w:val="2"/>
            <w:tcBorders>
              <w:left w:val="single" w:color="000000" w:sz="4" w:space="0"/>
              <w:bottom w:val="single" w:color="000000" w:sz="4" w:space="0"/>
              <w:right w:val="single" w:color="000000" w:sz="4" w:space="0"/>
            </w:tcBorders>
            <w:vAlign w:val="center"/>
          </w:tcPr>
          <w:p>
            <w:pPr>
              <w:pStyle w:val="5"/>
              <w:rPr>
                <w:rFonts w:ascii="宋体" w:hAnsi="宋体" w:cs="Arial"/>
                <w:color w:val="000000"/>
                <w:kern w:val="0"/>
                <w:sz w:val="24"/>
              </w:rPr>
            </w:pPr>
            <w:r>
              <w:rPr>
                <w:rFonts w:ascii="宋体" w:hAnsi="宋体" w:cs="Arial"/>
                <w:color w:val="000000"/>
                <w:kern w:val="0"/>
                <w:sz w:val="24"/>
                <w:lang w:bidi="hi-IN"/>
              </w:rPr>
              <w:t>人员经费合计</w:t>
            </w:r>
          </w:p>
        </w:tc>
        <w:tc>
          <w:tcPr>
            <w:tcW w:w="1567"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r>
              <w:rPr>
                <w:rFonts w:hint="eastAsia" w:ascii="宋体" w:hAnsi="宋体" w:cs="Arial"/>
                <w:color w:val="000000"/>
                <w:kern w:val="0"/>
                <w:sz w:val="24"/>
                <w:lang w:bidi="hi-IN"/>
              </w:rPr>
              <w:t>174.33</w:t>
            </w:r>
          </w:p>
        </w:tc>
        <w:tc>
          <w:tcPr>
            <w:tcW w:w="3310" w:type="dxa"/>
            <w:gridSpan w:val="2"/>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color w:val="000000"/>
                <w:kern w:val="0"/>
                <w:sz w:val="24"/>
                <w:lang w:bidi="hi-IN"/>
              </w:rPr>
              <w:t>公用经费合计</w:t>
            </w:r>
          </w:p>
        </w:tc>
        <w:tc>
          <w:tcPr>
            <w:tcW w:w="1453" w:type="dxa"/>
            <w:tcBorders>
              <w:bottom w:val="single" w:color="000000" w:sz="4" w:space="0"/>
              <w:right w:val="single" w:color="000000" w:sz="4" w:space="0"/>
            </w:tcBorders>
            <w:vAlign w:val="bottom"/>
          </w:tcPr>
          <w:p>
            <w:pPr>
              <w:pStyle w:val="5"/>
              <w:jc w:val="right"/>
              <w:rPr>
                <w:rFonts w:ascii="宋体" w:hAnsi="宋体" w:cs="Arial"/>
                <w:color w:val="000000"/>
                <w:kern w:val="0"/>
                <w:sz w:val="24"/>
              </w:rPr>
            </w:pPr>
            <w:r>
              <w:rPr>
                <w:rFonts w:hint="eastAsia" w:ascii="宋体" w:hAnsi="宋体" w:cs="Arial"/>
                <w:color w:val="000000"/>
                <w:kern w:val="0"/>
                <w:sz w:val="24"/>
                <w:lang w:bidi="hi-IN"/>
              </w:rPr>
              <w:t>17.04</w:t>
            </w:r>
          </w:p>
        </w:tc>
      </w:tr>
    </w:tbl>
    <w:p>
      <w:pPr>
        <w:pStyle w:val="5"/>
        <w:rPr>
          <w:sz w:val="24"/>
        </w:rPr>
        <w:sectPr>
          <w:headerReference r:id="rId7" w:type="default"/>
          <w:footerReference r:id="rId8" w:type="default"/>
          <w:pgSz w:w="11906" w:h="16838"/>
          <w:pgMar w:top="1440" w:right="1797" w:bottom="1440" w:left="1797" w:header="851" w:footer="992" w:gutter="0"/>
          <w:cols w:space="720" w:num="1"/>
          <w:formProt w:val="0"/>
          <w:docGrid w:type="lines" w:linePitch="312" w:charSpace="91954"/>
        </w:sectPr>
      </w:pPr>
      <w:r>
        <w:rPr>
          <w:sz w:val="24"/>
        </w:rPr>
        <w:t>注：本表反映部门本年度一般公共预算财政拨款基本支出明细情况。</w:t>
      </w:r>
    </w:p>
    <w:p>
      <w:pPr>
        <w:pStyle w:val="5"/>
        <w:jc w:val="center"/>
        <w:rPr>
          <w:rFonts w:ascii="方正小标宋简体" w:hAnsi="方正小标宋简体" w:eastAsia="方正小标宋简体" w:cs="宋体"/>
          <w:kern w:val="0"/>
          <w:sz w:val="36"/>
          <w:szCs w:val="36"/>
        </w:rPr>
      </w:pPr>
    </w:p>
    <w:p>
      <w:pPr>
        <w:pStyle w:val="5"/>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rPr>
        <w:t>表七：</w:t>
      </w:r>
      <w:r>
        <w:rPr>
          <w:rFonts w:ascii="方正小标宋简体" w:hAnsi="方正小标宋简体" w:eastAsia="方正小标宋简体"/>
          <w:sz w:val="36"/>
          <w:szCs w:val="36"/>
        </w:rPr>
        <w:t>一般</w:t>
      </w:r>
      <w:r>
        <w:rPr>
          <w:rFonts w:ascii="方正小标宋简体" w:hAnsi="方正小标宋简体" w:eastAsia="方正小标宋简体" w:cs="宋体"/>
          <w:kern w:val="0"/>
          <w:sz w:val="36"/>
          <w:szCs w:val="36"/>
        </w:rPr>
        <w:t>公共预算财政拨款安排的“三公”经费支出决算表</w:t>
      </w:r>
    </w:p>
    <w:p>
      <w:pPr>
        <w:pStyle w:val="5"/>
      </w:pPr>
    </w:p>
    <w:p>
      <w:pPr>
        <w:pStyle w:val="5"/>
        <w:jc w:val="right"/>
      </w:pPr>
      <w:r>
        <w:t>单位：万元</w:t>
      </w:r>
    </w:p>
    <w:tbl>
      <w:tblPr>
        <w:tblStyle w:val="3"/>
        <w:tblW w:w="13920" w:type="dxa"/>
        <w:jc w:val="center"/>
        <w:tblLayout w:type="fixed"/>
        <w:tblCellMar>
          <w:top w:w="0" w:type="dxa"/>
          <w:left w:w="108" w:type="dxa"/>
          <w:bottom w:w="0" w:type="dxa"/>
          <w:right w:w="108" w:type="dxa"/>
        </w:tblCellMar>
      </w:tblPr>
      <w:tblGrid>
        <w:gridCol w:w="829"/>
        <w:gridCol w:w="1601"/>
        <w:gridCol w:w="830"/>
        <w:gridCol w:w="1242"/>
        <w:gridCol w:w="1241"/>
        <w:gridCol w:w="1217"/>
        <w:gridCol w:w="806"/>
        <w:gridCol w:w="1559"/>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2020年度预算数</w:t>
            </w:r>
          </w:p>
        </w:tc>
        <w:tc>
          <w:tcPr>
            <w:tcW w:w="6960" w:type="dxa"/>
            <w:gridSpan w:val="6"/>
            <w:tcBorders>
              <w:top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合计</w:t>
            </w:r>
          </w:p>
        </w:tc>
        <w:tc>
          <w:tcPr>
            <w:tcW w:w="1601" w:type="dxa"/>
            <w:vMerge w:val="restart"/>
            <w:tcBorders>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因公出国(境）费</w:t>
            </w:r>
          </w:p>
        </w:tc>
        <w:tc>
          <w:tcPr>
            <w:tcW w:w="3313" w:type="dxa"/>
            <w:gridSpan w:val="3"/>
            <w:tcBorders>
              <w:top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公务用车购置及运行费</w:t>
            </w:r>
          </w:p>
        </w:tc>
        <w:tc>
          <w:tcPr>
            <w:tcW w:w="1217" w:type="dxa"/>
            <w:vMerge w:val="restart"/>
            <w:tcBorders>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公务接待费</w:t>
            </w:r>
          </w:p>
        </w:tc>
        <w:tc>
          <w:tcPr>
            <w:tcW w:w="806" w:type="dxa"/>
            <w:vMerge w:val="restart"/>
            <w:tcBorders>
              <w:left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合计</w:t>
            </w:r>
          </w:p>
        </w:tc>
        <w:tc>
          <w:tcPr>
            <w:tcW w:w="1559" w:type="dxa"/>
            <w:vMerge w:val="restart"/>
            <w:tcBorders>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因公出国(境）费</w:t>
            </w:r>
          </w:p>
        </w:tc>
        <w:tc>
          <w:tcPr>
            <w:tcW w:w="3412" w:type="dxa"/>
            <w:gridSpan w:val="3"/>
            <w:tcBorders>
              <w:top w:val="single" w:color="000000" w:sz="4" w:space="0"/>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公务用车购置及运行费</w:t>
            </w:r>
          </w:p>
        </w:tc>
        <w:tc>
          <w:tcPr>
            <w:tcW w:w="1183" w:type="dxa"/>
            <w:vMerge w:val="restart"/>
            <w:tcBorders>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601" w:type="dxa"/>
            <w:vMerge w:val="continue"/>
            <w:tcBorders>
              <w:bottom w:val="single" w:color="000000" w:sz="4" w:space="0"/>
              <w:right w:val="single" w:color="000000" w:sz="4" w:space="0"/>
            </w:tcBorders>
            <w:vAlign w:val="center"/>
          </w:tcPr>
          <w:p>
            <w:pPr>
              <w:pStyle w:val="5"/>
              <w:jc w:val="center"/>
              <w:rPr>
                <w:rFonts w:ascii="宋体" w:hAnsi="宋体" w:cs="Arial"/>
                <w:color w:val="000000"/>
                <w:kern w:val="0"/>
                <w:sz w:val="24"/>
              </w:rPr>
            </w:pPr>
          </w:p>
        </w:tc>
        <w:tc>
          <w:tcPr>
            <w:tcW w:w="830"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小计</w:t>
            </w:r>
          </w:p>
        </w:tc>
        <w:tc>
          <w:tcPr>
            <w:tcW w:w="1242"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 购置费</w:t>
            </w:r>
          </w:p>
        </w:tc>
        <w:tc>
          <w:tcPr>
            <w:tcW w:w="1241"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 运行费</w:t>
            </w:r>
          </w:p>
        </w:tc>
        <w:tc>
          <w:tcPr>
            <w:tcW w:w="1217" w:type="dxa"/>
            <w:vMerge w:val="continue"/>
            <w:tcBorders>
              <w:bottom w:val="single" w:color="000000" w:sz="4" w:space="0"/>
              <w:right w:val="single" w:color="000000" w:sz="4" w:space="0"/>
            </w:tcBorders>
            <w:vAlign w:val="center"/>
          </w:tcPr>
          <w:p>
            <w:pPr>
              <w:pStyle w:val="5"/>
              <w:jc w:val="center"/>
              <w:rPr>
                <w:rFonts w:ascii="宋体" w:hAnsi="宋体" w:cs="Arial"/>
                <w:color w:val="000000"/>
                <w:kern w:val="0"/>
                <w:sz w:val="24"/>
              </w:rPr>
            </w:pPr>
          </w:p>
        </w:tc>
        <w:tc>
          <w:tcPr>
            <w:tcW w:w="806"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Arial"/>
                <w:color w:val="000000"/>
                <w:kern w:val="0"/>
                <w:sz w:val="24"/>
              </w:rPr>
            </w:pPr>
          </w:p>
        </w:tc>
        <w:tc>
          <w:tcPr>
            <w:tcW w:w="1559" w:type="dxa"/>
            <w:vMerge w:val="continue"/>
            <w:tcBorders>
              <w:bottom w:val="single" w:color="000000" w:sz="4" w:space="0"/>
              <w:right w:val="single" w:color="000000" w:sz="4" w:space="0"/>
            </w:tcBorders>
            <w:vAlign w:val="center"/>
          </w:tcPr>
          <w:p>
            <w:pPr>
              <w:pStyle w:val="5"/>
              <w:jc w:val="center"/>
              <w:rPr>
                <w:rFonts w:ascii="宋体" w:hAnsi="宋体" w:cs="Arial"/>
                <w:color w:val="000000"/>
                <w:kern w:val="0"/>
                <w:sz w:val="24"/>
              </w:rPr>
            </w:pPr>
          </w:p>
        </w:tc>
        <w:tc>
          <w:tcPr>
            <w:tcW w:w="806"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小计</w:t>
            </w:r>
          </w:p>
        </w:tc>
        <w:tc>
          <w:tcPr>
            <w:tcW w:w="1398"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 购置费</w:t>
            </w:r>
          </w:p>
        </w:tc>
        <w:tc>
          <w:tcPr>
            <w:tcW w:w="1208" w:type="dxa"/>
            <w:tcBorders>
              <w:bottom w:val="single" w:color="000000" w:sz="4" w:space="0"/>
              <w:right w:val="single" w:color="000000" w:sz="4" w:space="0"/>
            </w:tcBorders>
            <w:vAlign w:val="center"/>
          </w:tcPr>
          <w:p>
            <w:pPr>
              <w:pStyle w:val="5"/>
              <w:jc w:val="center"/>
              <w:rPr>
                <w:rFonts w:ascii="宋体" w:hAnsi="宋体" w:cs="Arial"/>
                <w:color w:val="000000"/>
                <w:kern w:val="0"/>
                <w:sz w:val="24"/>
              </w:rPr>
            </w:pPr>
            <w:r>
              <w:rPr>
                <w:rFonts w:ascii="宋体" w:hAnsi="宋体" w:cs="Arial"/>
                <w:kern w:val="0"/>
                <w:sz w:val="24"/>
                <w:lang w:bidi="hi-IN"/>
              </w:rPr>
              <w:t>公务用车 运行费</w:t>
            </w:r>
          </w:p>
        </w:tc>
        <w:tc>
          <w:tcPr>
            <w:tcW w:w="1183" w:type="dxa"/>
            <w:vMerge w:val="continue"/>
            <w:tcBorders>
              <w:bottom w:val="single" w:color="000000" w:sz="4" w:space="0"/>
              <w:right w:val="single" w:color="000000" w:sz="4" w:space="0"/>
            </w:tcBorders>
            <w:vAlign w:val="center"/>
          </w:tcPr>
          <w:p>
            <w:pPr>
              <w:pStyle w:val="5"/>
              <w:jc w:val="center"/>
              <w:rPr>
                <w:rFonts w:ascii="宋体" w:hAnsi="宋体" w:cs="Arial"/>
                <w:color w:val="000000"/>
                <w:kern w:val="0"/>
                <w:sz w:val="24"/>
              </w:rPr>
            </w:pPr>
          </w:p>
        </w:tc>
      </w:tr>
      <w:tr>
        <w:tblPrEx>
          <w:tblCellMar>
            <w:top w:w="0" w:type="dxa"/>
            <w:left w:w="108" w:type="dxa"/>
            <w:bottom w:w="0" w:type="dxa"/>
            <w:right w:w="108" w:type="dxa"/>
          </w:tblCellMar>
        </w:tblPrEx>
        <w:trPr>
          <w:trHeight w:val="600" w:hRule="atLeast"/>
          <w:jc w:val="center"/>
        </w:trPr>
        <w:tc>
          <w:tcPr>
            <w:tcW w:w="829" w:type="dxa"/>
            <w:tcBorders>
              <w:left w:val="single" w:color="000000" w:sz="4" w:space="0"/>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w:t>
            </w:r>
          </w:p>
        </w:tc>
        <w:tc>
          <w:tcPr>
            <w:tcW w:w="1601"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2</w:t>
            </w:r>
          </w:p>
        </w:tc>
        <w:tc>
          <w:tcPr>
            <w:tcW w:w="830"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3</w:t>
            </w:r>
          </w:p>
        </w:tc>
        <w:tc>
          <w:tcPr>
            <w:tcW w:w="1242"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4</w:t>
            </w:r>
          </w:p>
        </w:tc>
        <w:tc>
          <w:tcPr>
            <w:tcW w:w="1241"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5</w:t>
            </w:r>
          </w:p>
        </w:tc>
        <w:tc>
          <w:tcPr>
            <w:tcW w:w="1217"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6</w:t>
            </w:r>
          </w:p>
        </w:tc>
        <w:tc>
          <w:tcPr>
            <w:tcW w:w="806"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7</w:t>
            </w:r>
          </w:p>
        </w:tc>
        <w:tc>
          <w:tcPr>
            <w:tcW w:w="1559"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8</w:t>
            </w:r>
          </w:p>
        </w:tc>
        <w:tc>
          <w:tcPr>
            <w:tcW w:w="806"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9</w:t>
            </w:r>
          </w:p>
        </w:tc>
        <w:tc>
          <w:tcPr>
            <w:tcW w:w="1398"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10</w:t>
            </w:r>
          </w:p>
        </w:tc>
        <w:tc>
          <w:tcPr>
            <w:tcW w:w="1208"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11</w:t>
            </w:r>
          </w:p>
        </w:tc>
        <w:tc>
          <w:tcPr>
            <w:tcW w:w="1183" w:type="dxa"/>
            <w:tcBorders>
              <w:bottom w:val="single" w:color="000000" w:sz="4" w:space="0"/>
              <w:right w:val="single" w:color="000000" w:sz="4" w:space="0"/>
            </w:tcBorders>
          </w:tcPr>
          <w:p>
            <w:pPr>
              <w:pStyle w:val="5"/>
              <w:jc w:val="center"/>
              <w:rPr>
                <w:rFonts w:ascii="宋体" w:hAnsi="宋体" w:cs="Arial"/>
                <w:color w:val="000000"/>
                <w:kern w:val="0"/>
                <w:sz w:val="24"/>
              </w:rPr>
            </w:pPr>
            <w:r>
              <w:rPr>
                <w:rFonts w:ascii="宋体" w:hAnsi="宋体" w:cs="Arial"/>
                <w:color w:val="000000"/>
                <w:kern w:val="0"/>
                <w:sz w:val="24"/>
                <w:lang w:bidi="hi-IN"/>
              </w:rPr>
              <w:t>12</w:t>
            </w:r>
          </w:p>
        </w:tc>
      </w:tr>
      <w:tr>
        <w:tblPrEx>
          <w:tblCellMar>
            <w:top w:w="0" w:type="dxa"/>
            <w:left w:w="108" w:type="dxa"/>
            <w:bottom w:w="0" w:type="dxa"/>
            <w:right w:w="108" w:type="dxa"/>
          </w:tblCellMar>
        </w:tblPrEx>
        <w:trPr>
          <w:trHeight w:val="564" w:hRule="atLeast"/>
          <w:jc w:val="center"/>
        </w:trPr>
        <w:tc>
          <w:tcPr>
            <w:tcW w:w="829" w:type="dxa"/>
            <w:tcBorders>
              <w:left w:val="single" w:color="000000" w:sz="4" w:space="0"/>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4.39</w:t>
            </w:r>
          </w:p>
        </w:tc>
        <w:tc>
          <w:tcPr>
            <w:tcW w:w="1601"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ascii="宋体" w:hAnsi="宋体" w:cs="宋体"/>
                <w:color w:val="000000"/>
                <w:kern w:val="0"/>
                <w:sz w:val="24"/>
                <w:lang w:bidi="ar"/>
              </w:rPr>
              <w:t>0.00</w:t>
            </w:r>
          </w:p>
        </w:tc>
        <w:tc>
          <w:tcPr>
            <w:tcW w:w="830" w:type="dxa"/>
            <w:tcBorders>
              <w:bottom w:val="single" w:color="000000" w:sz="4" w:space="0"/>
              <w:right w:val="single" w:color="000000" w:sz="4" w:space="0"/>
            </w:tcBorders>
            <w:vAlign w:val="center"/>
          </w:tcPr>
          <w:p>
            <w:pPr>
              <w:pStyle w:val="5"/>
              <w:jc w:val="center"/>
              <w:textAlignment w:val="center"/>
              <w:rPr>
                <w:rFonts w:ascii="Arial" w:hAnsi="Arial" w:cs="Arial"/>
                <w:color w:val="000000"/>
                <w:kern w:val="0"/>
                <w:sz w:val="24"/>
              </w:rPr>
            </w:pPr>
            <w:r>
              <w:rPr>
                <w:rFonts w:hint="eastAsia" w:ascii="Arial" w:hAnsi="Arial" w:cs="Arial"/>
                <w:color w:val="000000"/>
                <w:kern w:val="0"/>
                <w:sz w:val="24"/>
              </w:rPr>
              <w:t>4.00</w:t>
            </w:r>
          </w:p>
        </w:tc>
        <w:tc>
          <w:tcPr>
            <w:tcW w:w="1242"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ascii="宋体" w:hAnsi="宋体" w:cs="宋体"/>
                <w:color w:val="000000"/>
                <w:kern w:val="0"/>
                <w:sz w:val="24"/>
                <w:lang w:bidi="ar"/>
              </w:rPr>
              <w:t>0.00</w:t>
            </w:r>
          </w:p>
        </w:tc>
        <w:tc>
          <w:tcPr>
            <w:tcW w:w="1241"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4.00</w:t>
            </w:r>
          </w:p>
        </w:tc>
        <w:tc>
          <w:tcPr>
            <w:tcW w:w="1217"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0.39</w:t>
            </w:r>
          </w:p>
        </w:tc>
        <w:tc>
          <w:tcPr>
            <w:tcW w:w="806"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0.69</w:t>
            </w:r>
          </w:p>
        </w:tc>
        <w:tc>
          <w:tcPr>
            <w:tcW w:w="1559"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ascii="宋体" w:hAnsi="宋体" w:cs="宋体"/>
                <w:color w:val="000000"/>
                <w:kern w:val="0"/>
                <w:sz w:val="24"/>
                <w:lang w:bidi="ar"/>
              </w:rPr>
              <w:t>0.00</w:t>
            </w:r>
          </w:p>
        </w:tc>
        <w:tc>
          <w:tcPr>
            <w:tcW w:w="806"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0.62</w:t>
            </w:r>
          </w:p>
        </w:tc>
        <w:tc>
          <w:tcPr>
            <w:tcW w:w="1398"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ascii="宋体" w:hAnsi="宋体" w:cs="宋体"/>
                <w:color w:val="000000"/>
                <w:kern w:val="0"/>
                <w:sz w:val="24"/>
                <w:lang w:bidi="ar"/>
              </w:rPr>
              <w:t>0.00</w:t>
            </w:r>
          </w:p>
        </w:tc>
        <w:tc>
          <w:tcPr>
            <w:tcW w:w="1208"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0.62</w:t>
            </w:r>
          </w:p>
        </w:tc>
        <w:tc>
          <w:tcPr>
            <w:tcW w:w="1183" w:type="dxa"/>
            <w:tcBorders>
              <w:bottom w:val="single" w:color="000000" w:sz="4" w:space="0"/>
              <w:right w:val="single" w:color="000000" w:sz="4" w:space="0"/>
            </w:tcBorders>
            <w:vAlign w:val="center"/>
          </w:tcPr>
          <w:p>
            <w:pPr>
              <w:pStyle w:val="5"/>
              <w:jc w:val="right"/>
              <w:textAlignment w:val="center"/>
              <w:rPr>
                <w:rFonts w:ascii="Arial" w:hAnsi="Arial" w:cs="Arial"/>
                <w:color w:val="000000"/>
                <w:kern w:val="0"/>
                <w:sz w:val="24"/>
              </w:rPr>
            </w:pPr>
            <w:r>
              <w:rPr>
                <w:rFonts w:hint="eastAsia" w:ascii="宋体" w:hAnsi="宋体" w:cs="宋体"/>
                <w:color w:val="000000"/>
                <w:kern w:val="0"/>
                <w:sz w:val="24"/>
                <w:lang w:bidi="ar"/>
              </w:rPr>
              <w:t>0.07</w:t>
            </w:r>
          </w:p>
        </w:tc>
      </w:tr>
    </w:tbl>
    <w:p>
      <w:pPr>
        <w:pStyle w:val="5"/>
        <w:sectPr>
          <w:headerReference r:id="rId9" w:type="default"/>
          <w:footerReference r:id="rId10" w:type="default"/>
          <w:pgSz w:w="16838" w:h="11906" w:orient="landscape"/>
          <w:pgMar w:top="1797" w:right="1440" w:bottom="1797" w:left="1440" w:header="851" w:footer="992" w:gutter="0"/>
          <w:cols w:space="720" w:num="1"/>
          <w:formProt w:val="0"/>
          <w:docGrid w:type="lines" w:linePitch="312" w:charSpace="91954"/>
        </w:sectPr>
      </w:pPr>
      <w:r>
        <w:rPr>
          <w:sz w:val="24"/>
        </w:rPr>
        <w:t>注：本表反映部门本年度“三公”经费支出预决算情况。其中，2019年度预算数为“三公”经费年初预算数，决算数是包括当年一般公共预算财政拨款和以前年度结转资金安排的实际支出。</w:t>
      </w:r>
    </w:p>
    <w:p>
      <w:pPr>
        <w:pStyle w:val="5"/>
      </w:pPr>
    </w:p>
    <w:p>
      <w:pPr>
        <w:pStyle w:val="5"/>
      </w:pPr>
    </w:p>
    <w:tbl>
      <w:tblPr>
        <w:tblStyle w:val="3"/>
        <w:tblW w:w="12951" w:type="dxa"/>
        <w:jc w:val="center"/>
        <w:tblLayout w:type="fixed"/>
        <w:tblCellMar>
          <w:top w:w="0" w:type="dxa"/>
          <w:left w:w="108" w:type="dxa"/>
          <w:bottom w:w="0" w:type="dxa"/>
          <w:right w:w="108" w:type="dxa"/>
        </w:tblCellMar>
      </w:tblPr>
      <w:tblGrid>
        <w:gridCol w:w="1106"/>
        <w:gridCol w:w="1765"/>
        <w:gridCol w:w="790"/>
        <w:gridCol w:w="1040"/>
        <w:gridCol w:w="1040"/>
        <w:gridCol w:w="1040"/>
        <w:gridCol w:w="1040"/>
        <w:gridCol w:w="1040"/>
        <w:gridCol w:w="1040"/>
        <w:gridCol w:w="1040"/>
        <w:gridCol w:w="1021"/>
        <w:gridCol w:w="989"/>
      </w:tblGrid>
      <w:tr>
        <w:tblPrEx>
          <w:tblCellMar>
            <w:top w:w="0" w:type="dxa"/>
            <w:left w:w="108" w:type="dxa"/>
            <w:bottom w:w="0" w:type="dxa"/>
            <w:right w:w="108" w:type="dxa"/>
          </w:tblCellMar>
        </w:tblPrEx>
        <w:trPr>
          <w:trHeight w:val="570" w:hRule="atLeast"/>
          <w:jc w:val="center"/>
        </w:trPr>
        <w:tc>
          <w:tcPr>
            <w:tcW w:w="12951" w:type="dxa"/>
            <w:gridSpan w:val="12"/>
            <w:vAlign w:val="bottom"/>
          </w:tcPr>
          <w:p>
            <w:pPr>
              <w:pStyle w:val="5"/>
              <w:jc w:val="center"/>
              <w:rPr>
                <w:rFonts w:ascii="方正小标宋简体" w:hAnsi="方正小标宋简体" w:eastAsia="方正小标宋简体" w:cs="宋体"/>
                <w:kern w:val="0"/>
                <w:sz w:val="36"/>
                <w:szCs w:val="36"/>
              </w:rPr>
            </w:pPr>
            <w:r>
              <w:rPr>
                <w:rFonts w:ascii="方正小标宋简体" w:hAnsi="方正小标宋简体" w:eastAsia="方正小标宋简体" w:cs="宋体"/>
                <w:kern w:val="0"/>
                <w:sz w:val="36"/>
                <w:szCs w:val="36"/>
                <w:lang w:bidi="hi-IN"/>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106" w:type="dxa"/>
            <w:vAlign w:val="bottom"/>
          </w:tcPr>
          <w:p>
            <w:pPr>
              <w:pStyle w:val="5"/>
              <w:jc w:val="left"/>
              <w:rPr>
                <w:rFonts w:ascii="仿宋_GB2312" w:hAnsi="仿宋_GB2312" w:cs="宋体"/>
                <w:kern w:val="0"/>
                <w:sz w:val="24"/>
              </w:rPr>
            </w:pPr>
          </w:p>
        </w:tc>
        <w:tc>
          <w:tcPr>
            <w:tcW w:w="1765" w:type="dxa"/>
            <w:vAlign w:val="bottom"/>
          </w:tcPr>
          <w:p>
            <w:pPr>
              <w:pStyle w:val="5"/>
              <w:jc w:val="left"/>
              <w:rPr>
                <w:rFonts w:ascii="仿宋_GB2312" w:hAnsi="仿宋_GB2312" w:cs="宋体"/>
                <w:kern w:val="0"/>
                <w:sz w:val="24"/>
              </w:rPr>
            </w:pPr>
          </w:p>
        </w:tc>
        <w:tc>
          <w:tcPr>
            <w:tcW w:w="79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1040" w:type="dxa"/>
            <w:vAlign w:val="bottom"/>
          </w:tcPr>
          <w:p>
            <w:pPr>
              <w:pStyle w:val="5"/>
              <w:jc w:val="left"/>
              <w:rPr>
                <w:rFonts w:ascii="仿宋_GB2312" w:hAnsi="仿宋_GB2312" w:cs="宋体"/>
                <w:kern w:val="0"/>
                <w:sz w:val="24"/>
              </w:rPr>
            </w:pPr>
          </w:p>
        </w:tc>
        <w:tc>
          <w:tcPr>
            <w:tcW w:w="2010" w:type="dxa"/>
            <w:gridSpan w:val="2"/>
            <w:vAlign w:val="bottom"/>
          </w:tcPr>
          <w:p>
            <w:pPr>
              <w:pStyle w:val="5"/>
              <w:jc w:val="right"/>
              <w:rPr>
                <w:rFonts w:ascii="仿宋_GB2312" w:hAnsi="仿宋_GB2312" w:cs="宋体"/>
                <w:kern w:val="0"/>
                <w:sz w:val="22"/>
                <w:szCs w:val="22"/>
              </w:rPr>
            </w:pPr>
            <w:r>
              <w:rPr>
                <w:rFonts w:ascii="仿宋_GB2312" w:hAnsi="仿宋_GB2312" w:cs="宋体"/>
                <w:kern w:val="0"/>
                <w:sz w:val="22"/>
                <w:szCs w:val="22"/>
                <w:lang w:bidi="hi-IN"/>
              </w:rPr>
              <w:t>单位：万元</w:t>
            </w:r>
          </w:p>
        </w:tc>
      </w:tr>
      <w:tr>
        <w:tblPrEx>
          <w:tblCellMar>
            <w:top w:w="0" w:type="dxa"/>
            <w:left w:w="108" w:type="dxa"/>
            <w:bottom w:w="0" w:type="dxa"/>
            <w:right w:w="108" w:type="dxa"/>
          </w:tblCellMar>
        </w:tblPrEx>
        <w:trPr>
          <w:trHeight w:val="405" w:hRule="atLeast"/>
          <w:jc w:val="center"/>
        </w:trPr>
        <w:tc>
          <w:tcPr>
            <w:tcW w:w="1106" w:type="dxa"/>
            <w:vMerge w:val="restart"/>
            <w:tcBorders>
              <w:top w:val="single" w:color="000000" w:sz="4" w:space="0"/>
              <w:left w:val="single" w:color="000000" w:sz="4" w:space="0"/>
            </w:tcBorders>
            <w:shd w:val="clear" w:color="auto" w:fill="auto"/>
            <w:vAlign w:val="center"/>
          </w:tcPr>
          <w:p>
            <w:pPr>
              <w:pStyle w:val="5"/>
              <w:jc w:val="center"/>
              <w:rPr>
                <w:rFonts w:ascii="宋体" w:hAnsi="宋体" w:cs="宋体"/>
                <w:kern w:val="0"/>
                <w:sz w:val="22"/>
                <w:szCs w:val="22"/>
              </w:rPr>
            </w:pPr>
            <w:r>
              <w:rPr>
                <w:rFonts w:ascii="宋体" w:hAnsi="宋体" w:cs="宋体"/>
                <w:kern w:val="0"/>
                <w:sz w:val="22"/>
                <w:szCs w:val="22"/>
                <w:lang w:bidi="hi-IN"/>
              </w:rPr>
              <w:t>支出功能分类科目编码</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kern w:val="0"/>
                <w:sz w:val="22"/>
                <w:szCs w:val="22"/>
              </w:rPr>
            </w:pPr>
            <w:r>
              <w:rPr>
                <w:rFonts w:ascii="宋体" w:hAnsi="宋体" w:cs="宋体"/>
                <w:kern w:val="0"/>
                <w:sz w:val="22"/>
                <w:szCs w:val="22"/>
                <w:lang w:bidi="hi-IN"/>
              </w:rPr>
              <w:t>科目名称</w:t>
            </w:r>
          </w:p>
        </w:tc>
        <w:tc>
          <w:tcPr>
            <w:tcW w:w="2870" w:type="dxa"/>
            <w:gridSpan w:val="3"/>
            <w:tcBorders>
              <w:top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年初结转和结余</w:t>
            </w:r>
          </w:p>
        </w:tc>
        <w:tc>
          <w:tcPr>
            <w:tcW w:w="1040" w:type="dxa"/>
            <w:vMerge w:val="restart"/>
            <w:tcBorders>
              <w:top w:val="single" w:color="000000" w:sz="4" w:space="0"/>
              <w:left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本年收入</w:t>
            </w:r>
          </w:p>
        </w:tc>
        <w:tc>
          <w:tcPr>
            <w:tcW w:w="3120" w:type="dxa"/>
            <w:gridSpan w:val="3"/>
            <w:tcBorders>
              <w:top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本年支出</w:t>
            </w:r>
          </w:p>
        </w:tc>
        <w:tc>
          <w:tcPr>
            <w:tcW w:w="3050" w:type="dxa"/>
            <w:gridSpan w:val="3"/>
            <w:tcBorders>
              <w:top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年末结转和结余</w:t>
            </w:r>
          </w:p>
        </w:tc>
      </w:tr>
      <w:tr>
        <w:tblPrEx>
          <w:tblCellMar>
            <w:top w:w="0" w:type="dxa"/>
            <w:left w:w="108" w:type="dxa"/>
            <w:bottom w:w="0" w:type="dxa"/>
            <w:right w:w="108" w:type="dxa"/>
          </w:tblCellMar>
        </w:tblPrEx>
        <w:trPr>
          <w:trHeight w:val="312" w:hRule="atLeast"/>
          <w:jc w:val="center"/>
        </w:trPr>
        <w:tc>
          <w:tcPr>
            <w:tcW w:w="1106" w:type="dxa"/>
            <w:vMerge w:val="continue"/>
            <w:tcBorders>
              <w:top w:val="single" w:color="000000" w:sz="4" w:space="0"/>
              <w:left w:val="single" w:color="000000" w:sz="4" w:space="0"/>
            </w:tcBorders>
            <w:shd w:val="clear" w:color="auto" w:fill="auto"/>
            <w:vAlign w:val="center"/>
          </w:tcPr>
          <w:p>
            <w:pPr>
              <w:pStyle w:val="5"/>
              <w:jc w:val="left"/>
              <w:rPr>
                <w:rFonts w:ascii="宋体" w:hAnsi="宋体" w:cs="宋体"/>
                <w:kern w:val="0"/>
                <w:sz w:val="22"/>
                <w:szCs w:val="22"/>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left"/>
              <w:rPr>
                <w:rFonts w:ascii="宋体" w:hAnsi="宋体" w:cs="宋体"/>
                <w:kern w:val="0"/>
                <w:sz w:val="22"/>
                <w:szCs w:val="22"/>
              </w:rPr>
            </w:pPr>
          </w:p>
        </w:tc>
        <w:tc>
          <w:tcPr>
            <w:tcW w:w="790" w:type="dxa"/>
            <w:vMerge w:val="restart"/>
            <w:tcBorders>
              <w:left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合计</w:t>
            </w:r>
          </w:p>
        </w:tc>
        <w:tc>
          <w:tcPr>
            <w:tcW w:w="1040" w:type="dxa"/>
            <w:vMerge w:val="restart"/>
            <w:tcBorders>
              <w:left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基本支出结转</w:t>
            </w:r>
          </w:p>
        </w:tc>
        <w:tc>
          <w:tcPr>
            <w:tcW w:w="1040" w:type="dxa"/>
            <w:vMerge w:val="restart"/>
            <w:tcBorders>
              <w:left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项目支出结转和结余</w:t>
            </w:r>
          </w:p>
        </w:tc>
        <w:tc>
          <w:tcPr>
            <w:tcW w:w="1040" w:type="dxa"/>
            <w:vMerge w:val="continue"/>
            <w:tcBorders>
              <w:top w:val="single" w:color="000000" w:sz="4" w:space="0"/>
              <w:left w:val="single" w:color="000000" w:sz="4" w:space="0"/>
              <w:right w:val="single" w:color="000000" w:sz="4" w:space="0"/>
            </w:tcBorders>
            <w:shd w:val="clear" w:color="auto" w:fill="auto"/>
            <w:vAlign w:val="center"/>
          </w:tcPr>
          <w:p>
            <w:pPr>
              <w:pStyle w:val="5"/>
              <w:jc w:val="left"/>
              <w:rPr>
                <w:rFonts w:ascii="宋体" w:hAnsi="宋体" w:cs="宋体"/>
                <w:color w:val="000000"/>
                <w:kern w:val="0"/>
                <w:sz w:val="22"/>
                <w:szCs w:val="22"/>
              </w:rPr>
            </w:pP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合计</w:t>
            </w: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基本支出</w:t>
            </w: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项目支出</w:t>
            </w:r>
          </w:p>
        </w:tc>
        <w:tc>
          <w:tcPr>
            <w:tcW w:w="1040"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合计</w:t>
            </w:r>
          </w:p>
        </w:tc>
        <w:tc>
          <w:tcPr>
            <w:tcW w:w="1021"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基本支出结转</w:t>
            </w:r>
          </w:p>
        </w:tc>
        <w:tc>
          <w:tcPr>
            <w:tcW w:w="989" w:type="dxa"/>
            <w:vMerge w:val="restart"/>
            <w:tcBorders>
              <w:left w:val="single" w:color="000000" w:sz="4" w:space="0"/>
              <w:bottom w:val="single" w:color="000000" w:sz="4" w:space="0"/>
              <w:right w:val="single" w:color="000000" w:sz="4" w:space="0"/>
            </w:tcBorders>
            <w:shd w:val="clear" w:color="000000" w:fill="FFFFFF"/>
            <w:vAlign w:val="center"/>
          </w:tcPr>
          <w:p>
            <w:pPr>
              <w:pStyle w:val="5"/>
              <w:jc w:val="center"/>
              <w:rPr>
                <w:rFonts w:ascii="宋体" w:hAnsi="宋体" w:cs="宋体"/>
                <w:color w:val="000000"/>
                <w:kern w:val="0"/>
                <w:sz w:val="22"/>
                <w:szCs w:val="22"/>
              </w:rPr>
            </w:pPr>
            <w:r>
              <w:rPr>
                <w:rFonts w:ascii="宋体" w:hAnsi="宋体" w:cs="宋体"/>
                <w:color w:val="000000"/>
                <w:kern w:val="0"/>
                <w:sz w:val="22"/>
                <w:szCs w:val="22"/>
                <w:lang w:bidi="hi-IN"/>
              </w:rPr>
              <w:t>项目支出结转和结余</w:t>
            </w:r>
          </w:p>
        </w:tc>
      </w:tr>
      <w:tr>
        <w:tblPrEx>
          <w:tblCellMar>
            <w:top w:w="0" w:type="dxa"/>
            <w:left w:w="108" w:type="dxa"/>
            <w:bottom w:w="0" w:type="dxa"/>
            <w:right w:w="108" w:type="dxa"/>
          </w:tblCellMar>
        </w:tblPrEx>
        <w:trPr>
          <w:trHeight w:val="312" w:hRule="atLeast"/>
          <w:jc w:val="center"/>
        </w:trPr>
        <w:tc>
          <w:tcPr>
            <w:tcW w:w="1106" w:type="dxa"/>
            <w:vMerge w:val="continue"/>
            <w:tcBorders>
              <w:top w:val="single" w:color="000000" w:sz="4" w:space="0"/>
              <w:left w:val="single" w:color="000000" w:sz="4" w:space="0"/>
            </w:tcBorders>
            <w:vAlign w:val="center"/>
          </w:tcPr>
          <w:p>
            <w:pPr>
              <w:pStyle w:val="5"/>
              <w:jc w:val="left"/>
              <w:rPr>
                <w:rFonts w:ascii="宋体" w:hAnsi="宋体" w:cs="宋体"/>
                <w:kern w:val="0"/>
                <w:sz w:val="22"/>
                <w:szCs w:val="22"/>
              </w:rPr>
            </w:pPr>
          </w:p>
        </w:tc>
        <w:tc>
          <w:tcPr>
            <w:tcW w:w="1765" w:type="dxa"/>
            <w:vMerge w:val="continue"/>
            <w:tcBorders>
              <w:top w:val="single" w:color="000000" w:sz="4" w:space="0"/>
              <w:left w:val="single" w:color="000000" w:sz="4" w:space="0"/>
              <w:bottom w:val="single" w:color="000000" w:sz="4" w:space="0"/>
              <w:right w:val="single" w:color="000000" w:sz="4" w:space="0"/>
            </w:tcBorders>
            <w:vAlign w:val="center"/>
          </w:tcPr>
          <w:p>
            <w:pPr>
              <w:pStyle w:val="5"/>
              <w:jc w:val="left"/>
              <w:rPr>
                <w:rFonts w:ascii="宋体" w:hAnsi="宋体" w:cs="宋体"/>
                <w:kern w:val="0"/>
                <w:sz w:val="22"/>
                <w:szCs w:val="22"/>
              </w:rPr>
            </w:pPr>
          </w:p>
        </w:tc>
        <w:tc>
          <w:tcPr>
            <w:tcW w:w="790" w:type="dxa"/>
            <w:vMerge w:val="continue"/>
            <w:tcBorders>
              <w:left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top w:val="single" w:color="000000" w:sz="4" w:space="0"/>
              <w:left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40"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1021"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c>
          <w:tcPr>
            <w:tcW w:w="989" w:type="dxa"/>
            <w:vMerge w:val="continue"/>
            <w:tcBorders>
              <w:left w:val="single" w:color="000000" w:sz="4" w:space="0"/>
              <w:bottom w:val="single" w:color="000000" w:sz="4" w:space="0"/>
              <w:right w:val="single" w:color="000000" w:sz="4" w:space="0"/>
            </w:tcBorders>
            <w:vAlign w:val="center"/>
          </w:tcPr>
          <w:p>
            <w:pPr>
              <w:pStyle w:val="5"/>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871" w:type="dxa"/>
            <w:gridSpan w:val="2"/>
            <w:tcBorders>
              <w:top w:val="single" w:color="000000" w:sz="4" w:space="0"/>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合  计</w:t>
            </w:r>
          </w:p>
        </w:tc>
        <w:tc>
          <w:tcPr>
            <w:tcW w:w="790" w:type="dxa"/>
            <w:tcBorders>
              <w:top w:val="single" w:color="000000" w:sz="4" w:space="0"/>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top w:val="single" w:color="000000" w:sz="4" w:space="0"/>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top w:val="single" w:color="000000" w:sz="4" w:space="0"/>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top w:val="single" w:color="000000" w:sz="4" w:space="0"/>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left"/>
              <w:rPr>
                <w:rFonts w:ascii="宋体" w:hAnsi="宋体" w:cs="宋体"/>
                <w:kern w:val="0"/>
                <w:sz w:val="22"/>
                <w:szCs w:val="22"/>
              </w:rPr>
            </w:pPr>
          </w:p>
        </w:tc>
        <w:tc>
          <w:tcPr>
            <w:tcW w:w="1765" w:type="dxa"/>
            <w:tcBorders>
              <w:bottom w:val="single" w:color="000000" w:sz="4" w:space="0"/>
              <w:right w:val="single" w:color="000000" w:sz="4" w:space="0"/>
            </w:tcBorders>
            <w:vAlign w:val="center"/>
          </w:tcPr>
          <w:p>
            <w:pPr>
              <w:pStyle w:val="5"/>
              <w:rPr>
                <w:rFonts w:ascii="宋体" w:hAnsi="宋体" w:cs="宋体"/>
                <w:kern w:val="0"/>
                <w:sz w:val="22"/>
                <w:szCs w:val="22"/>
              </w:rPr>
            </w:pP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left"/>
              <w:rPr>
                <w:rFonts w:ascii="宋体" w:hAnsi="宋体" w:cs="宋体"/>
                <w:kern w:val="0"/>
                <w:sz w:val="22"/>
                <w:szCs w:val="22"/>
              </w:rPr>
            </w:pP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left"/>
              <w:rPr>
                <w:rFonts w:ascii="宋体" w:hAnsi="宋体" w:cs="宋体"/>
                <w:kern w:val="0"/>
                <w:sz w:val="22"/>
                <w:szCs w:val="22"/>
              </w:rPr>
            </w:pP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r>
        <w:tblPrEx>
          <w:tblCellMar>
            <w:top w:w="0" w:type="dxa"/>
            <w:left w:w="108" w:type="dxa"/>
            <w:bottom w:w="0" w:type="dxa"/>
            <w:right w:w="108" w:type="dxa"/>
          </w:tblCellMar>
        </w:tblPrEx>
        <w:trPr>
          <w:trHeight w:val="285" w:hRule="atLeast"/>
          <w:jc w:val="center"/>
        </w:trPr>
        <w:tc>
          <w:tcPr>
            <w:tcW w:w="1106" w:type="dxa"/>
            <w:tcBorders>
              <w:left w:val="single" w:color="000000" w:sz="4" w:space="0"/>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1765" w:type="dxa"/>
            <w:tcBorders>
              <w:bottom w:val="single" w:color="000000" w:sz="4" w:space="0"/>
              <w:right w:val="single" w:color="000000" w:sz="4" w:space="0"/>
            </w:tcBorders>
            <w:vAlign w:val="center"/>
          </w:tcPr>
          <w:p>
            <w:pPr>
              <w:pStyle w:val="5"/>
              <w:jc w:val="center"/>
              <w:rPr>
                <w:rFonts w:ascii="宋体" w:hAnsi="宋体" w:cs="宋体"/>
                <w:kern w:val="0"/>
                <w:sz w:val="22"/>
                <w:szCs w:val="22"/>
              </w:rPr>
            </w:pPr>
            <w:r>
              <w:rPr>
                <w:rFonts w:ascii="宋体" w:hAnsi="宋体" w:cs="宋体"/>
                <w:kern w:val="0"/>
                <w:sz w:val="22"/>
                <w:szCs w:val="22"/>
                <w:lang w:bidi="hi-IN"/>
              </w:rPr>
              <w:t>　</w:t>
            </w:r>
          </w:p>
        </w:tc>
        <w:tc>
          <w:tcPr>
            <w:tcW w:w="79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40"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1021"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c>
          <w:tcPr>
            <w:tcW w:w="989" w:type="dxa"/>
            <w:tcBorders>
              <w:bottom w:val="single" w:color="000000" w:sz="4" w:space="0"/>
              <w:right w:val="single" w:color="000000" w:sz="4" w:space="0"/>
            </w:tcBorders>
            <w:vAlign w:val="center"/>
          </w:tcPr>
          <w:p>
            <w:pPr>
              <w:pStyle w:val="5"/>
              <w:jc w:val="right"/>
              <w:rPr>
                <w:rFonts w:ascii="宋体" w:hAnsi="宋体" w:cs="宋体"/>
                <w:kern w:val="0"/>
                <w:sz w:val="22"/>
                <w:szCs w:val="22"/>
              </w:rPr>
            </w:pPr>
            <w:r>
              <w:rPr>
                <w:rFonts w:ascii="宋体" w:hAnsi="宋体" w:cs="宋体"/>
                <w:kern w:val="0"/>
                <w:sz w:val="22"/>
                <w:szCs w:val="22"/>
                <w:lang w:bidi="hi-IN"/>
              </w:rPr>
              <w:t>　</w:t>
            </w:r>
          </w:p>
        </w:tc>
      </w:tr>
    </w:tbl>
    <w:p>
      <w:pPr>
        <w:pStyle w:val="5"/>
        <w:spacing w:line="560" w:lineRule="exact"/>
        <w:rPr>
          <w:rFonts w:ascii="仿宋_GB2312" w:hAnsi="仿宋_GB2312" w:eastAsia="仿宋_GB2312"/>
          <w:b/>
          <w:sz w:val="32"/>
          <w:szCs w:val="32"/>
        </w:rPr>
      </w:pPr>
      <w:r>
        <w:t xml:space="preserve">    注：本表反映部门本年度政府性基金预算财政拨款收入支出及结转和结余情况。</w:t>
      </w:r>
    </w:p>
    <w:p>
      <w:pPr>
        <w:pStyle w:val="5"/>
        <w:spacing w:line="560" w:lineRule="exact"/>
        <w:rPr>
          <w:rFonts w:ascii="仿宋_GB2312" w:hAnsi="仿宋_GB2312" w:eastAsia="仿宋_GB2312"/>
          <w:b/>
          <w:sz w:val="32"/>
          <w:szCs w:val="32"/>
        </w:rPr>
      </w:pPr>
    </w:p>
    <w:p>
      <w:pPr>
        <w:pStyle w:val="5"/>
        <w:spacing w:line="560" w:lineRule="exact"/>
        <w:rPr>
          <w:rFonts w:ascii="仿宋_GB2312" w:hAnsi="仿宋_GB2312" w:eastAsia="仿宋_GB2312"/>
          <w:b/>
          <w:sz w:val="32"/>
          <w:szCs w:val="32"/>
        </w:rPr>
      </w:pPr>
    </w:p>
    <w:p>
      <w:pPr>
        <w:pStyle w:val="5"/>
        <w:spacing w:line="560" w:lineRule="exact"/>
        <w:rPr>
          <w:rFonts w:ascii="仿宋_GB2312" w:hAnsi="仿宋_GB2312" w:eastAsia="仿宋_GB2312"/>
          <w:b/>
          <w:sz w:val="32"/>
          <w:szCs w:val="32"/>
        </w:rPr>
      </w:pPr>
    </w:p>
    <w:tbl>
      <w:tblPr>
        <w:tblStyle w:val="3"/>
        <w:tblW w:w="13519" w:type="dxa"/>
        <w:tblInd w:w="0" w:type="dxa"/>
        <w:tblLayout w:type="fixed"/>
        <w:tblCellMar>
          <w:top w:w="15" w:type="dxa"/>
          <w:left w:w="15" w:type="dxa"/>
          <w:bottom w:w="15" w:type="dxa"/>
          <w:right w:w="15" w:type="dxa"/>
        </w:tblCellMar>
      </w:tblPr>
      <w:tblGrid>
        <w:gridCol w:w="1318"/>
        <w:gridCol w:w="1291"/>
        <w:gridCol w:w="2250"/>
        <w:gridCol w:w="3242"/>
        <w:gridCol w:w="1344"/>
        <w:gridCol w:w="4074"/>
      </w:tblGrid>
      <w:tr>
        <w:tblPrEx>
          <w:tblCellMar>
            <w:top w:w="15" w:type="dxa"/>
            <w:left w:w="15" w:type="dxa"/>
            <w:bottom w:w="15" w:type="dxa"/>
            <w:right w:w="15" w:type="dxa"/>
          </w:tblCellMar>
        </w:tblPrEx>
        <w:trPr>
          <w:trHeight w:val="768" w:hRule="atLeast"/>
        </w:trPr>
        <w:tc>
          <w:tcPr>
            <w:tcW w:w="13519" w:type="dxa"/>
            <w:gridSpan w:val="6"/>
            <w:shd w:val="clear" w:color="auto" w:fill="FFFFFF"/>
            <w:vAlign w:val="center"/>
          </w:tcPr>
          <w:p>
            <w:pPr>
              <w:pStyle w:val="5"/>
              <w:jc w:val="center"/>
              <w:textAlignment w:val="center"/>
              <w:rPr>
                <w:rFonts w:ascii="华文中宋" w:hAnsi="华文中宋" w:eastAsia="华文中宋" w:cs="华文中宋"/>
                <w:color w:val="000000"/>
                <w:sz w:val="32"/>
                <w:szCs w:val="32"/>
              </w:rPr>
            </w:pPr>
            <w:r>
              <w:rPr>
                <w:rFonts w:ascii="华文中宋" w:hAnsi="华文中宋" w:eastAsia="华文中宋" w:cs="华文中宋"/>
                <w:color w:val="000000"/>
                <w:kern w:val="0"/>
                <w:sz w:val="32"/>
                <w:szCs w:val="32"/>
                <w:lang w:bidi="ar"/>
              </w:rPr>
              <w:t>表九：国有资本经营预算财政拨款支出决算表</w:t>
            </w:r>
          </w:p>
        </w:tc>
      </w:tr>
      <w:tr>
        <w:tblPrEx>
          <w:tblCellMar>
            <w:top w:w="15" w:type="dxa"/>
            <w:left w:w="15" w:type="dxa"/>
            <w:bottom w:w="15" w:type="dxa"/>
            <w:right w:w="15" w:type="dxa"/>
          </w:tblCellMar>
        </w:tblPrEx>
        <w:trPr>
          <w:trHeight w:val="350" w:hRule="atLeast"/>
        </w:trPr>
        <w:tc>
          <w:tcPr>
            <w:tcW w:w="1318" w:type="dxa"/>
            <w:shd w:val="clear" w:color="auto" w:fill="FFFFFF"/>
            <w:vAlign w:val="center"/>
          </w:tcPr>
          <w:p>
            <w:pPr>
              <w:pStyle w:val="5"/>
              <w:jc w:val="left"/>
              <w:textAlignment w:val="center"/>
              <w:rPr>
                <w:rFonts w:ascii="宋体" w:hAnsi="宋体" w:cs="宋体"/>
                <w:color w:val="000000"/>
                <w:sz w:val="20"/>
                <w:szCs w:val="20"/>
              </w:rPr>
            </w:pPr>
            <w:r>
              <w:rPr>
                <w:rFonts w:ascii="宋体" w:hAnsi="宋体" w:cs="宋体"/>
                <w:color w:val="000000"/>
                <w:kern w:val="0"/>
                <w:sz w:val="20"/>
                <w:szCs w:val="20"/>
                <w:lang w:bidi="ar"/>
              </w:rPr>
              <w:t>部门：</w:t>
            </w:r>
          </w:p>
        </w:tc>
        <w:tc>
          <w:tcPr>
            <w:tcW w:w="1291" w:type="dxa"/>
            <w:shd w:val="clear" w:color="auto" w:fill="FFFFFF"/>
            <w:vAlign w:val="center"/>
          </w:tcPr>
          <w:p>
            <w:pPr>
              <w:pStyle w:val="5"/>
              <w:jc w:val="center"/>
              <w:rPr>
                <w:rFonts w:ascii="宋体" w:hAnsi="宋体" w:cs="宋体"/>
                <w:color w:val="000000"/>
                <w:sz w:val="20"/>
                <w:szCs w:val="20"/>
              </w:rPr>
            </w:pPr>
          </w:p>
        </w:tc>
        <w:tc>
          <w:tcPr>
            <w:tcW w:w="2250" w:type="dxa"/>
            <w:shd w:val="clear" w:color="auto" w:fill="FFFFFF"/>
            <w:vAlign w:val="center"/>
          </w:tcPr>
          <w:p>
            <w:pPr>
              <w:pStyle w:val="5"/>
              <w:jc w:val="center"/>
              <w:rPr>
                <w:rFonts w:ascii="宋体" w:hAnsi="宋体" w:cs="宋体"/>
                <w:color w:val="000000"/>
                <w:sz w:val="20"/>
                <w:szCs w:val="20"/>
              </w:rPr>
            </w:pPr>
          </w:p>
        </w:tc>
        <w:tc>
          <w:tcPr>
            <w:tcW w:w="3242" w:type="dxa"/>
            <w:tcBorders>
              <w:bottom w:val="single" w:color="000000" w:sz="12" w:space="0"/>
            </w:tcBorders>
            <w:shd w:val="clear" w:color="auto" w:fill="FFFFFF"/>
            <w:vAlign w:val="center"/>
          </w:tcPr>
          <w:p>
            <w:pPr>
              <w:pStyle w:val="5"/>
              <w:rPr>
                <w:rFonts w:ascii="宋体" w:hAnsi="宋体" w:cs="宋体"/>
                <w:color w:val="000000"/>
                <w:sz w:val="20"/>
                <w:szCs w:val="20"/>
              </w:rPr>
            </w:pPr>
          </w:p>
        </w:tc>
        <w:tc>
          <w:tcPr>
            <w:tcW w:w="1344" w:type="dxa"/>
            <w:tcBorders>
              <w:bottom w:val="single" w:color="000000" w:sz="12" w:space="0"/>
            </w:tcBorders>
            <w:shd w:val="clear" w:color="auto" w:fill="FFFFFF"/>
            <w:vAlign w:val="center"/>
          </w:tcPr>
          <w:p>
            <w:pPr>
              <w:pStyle w:val="5"/>
              <w:rPr>
                <w:rFonts w:ascii="宋体" w:hAnsi="宋体" w:cs="宋体"/>
                <w:color w:val="000000"/>
                <w:sz w:val="20"/>
                <w:szCs w:val="20"/>
              </w:rPr>
            </w:pPr>
          </w:p>
        </w:tc>
        <w:tc>
          <w:tcPr>
            <w:tcW w:w="4074" w:type="dxa"/>
            <w:shd w:val="clear" w:color="auto" w:fill="FFFFFF"/>
            <w:vAlign w:val="center"/>
          </w:tcPr>
          <w:p>
            <w:pPr>
              <w:pStyle w:val="5"/>
              <w:jc w:val="right"/>
              <w:textAlignment w:val="center"/>
              <w:rPr>
                <w:rFonts w:ascii="宋体" w:hAnsi="宋体" w:cs="宋体"/>
                <w:color w:val="000000"/>
                <w:sz w:val="20"/>
                <w:szCs w:val="20"/>
              </w:rPr>
            </w:pPr>
            <w:r>
              <w:rPr>
                <w:rFonts w:ascii="宋体" w:hAnsi="宋体" w:cs="宋体"/>
                <w:color w:val="000000"/>
                <w:kern w:val="0"/>
                <w:sz w:val="20"/>
                <w:szCs w:val="20"/>
                <w:lang w:bidi="ar"/>
              </w:rPr>
              <w:t>单位：万元</w:t>
            </w:r>
          </w:p>
        </w:tc>
      </w:tr>
      <w:tr>
        <w:tblPrEx>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 xml:space="preserve">项 </w:t>
            </w:r>
            <w:r>
              <w:rPr>
                <w:rStyle w:val="7"/>
                <w:lang w:bidi="ar"/>
              </w:rPr>
              <w:t xml:space="preserve">   </w:t>
            </w:r>
            <w:r>
              <w:rPr>
                <w:rStyle w:val="8"/>
                <w:lang w:bidi="ar"/>
              </w:rPr>
              <w:t>目</w:t>
            </w:r>
          </w:p>
        </w:tc>
        <w:tc>
          <w:tcPr>
            <w:tcW w:w="8660"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本年支出</w:t>
            </w:r>
          </w:p>
        </w:tc>
      </w:tr>
      <w:tr>
        <w:tblPrEx>
          <w:tblCellMar>
            <w:top w:w="15" w:type="dxa"/>
            <w:left w:w="15" w:type="dxa"/>
            <w:bottom w:w="15" w:type="dxa"/>
            <w:right w:w="15" w:type="dxa"/>
          </w:tblCellMar>
        </w:tblPrEx>
        <w:trPr>
          <w:trHeight w:val="440" w:hRule="atLeast"/>
        </w:trPr>
        <w:tc>
          <w:tcPr>
            <w:tcW w:w="2609"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功能分类科目编码</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基本支出</w:t>
            </w:r>
          </w:p>
        </w:tc>
        <w:tc>
          <w:tcPr>
            <w:tcW w:w="4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项目支出</w:t>
            </w:r>
          </w:p>
        </w:tc>
      </w:tr>
      <w:tr>
        <w:tblPrEx>
          <w:tblCellMar>
            <w:top w:w="15" w:type="dxa"/>
            <w:left w:w="15" w:type="dxa"/>
            <w:bottom w:w="15" w:type="dxa"/>
            <w:right w:w="15" w:type="dxa"/>
          </w:tblCellMar>
        </w:tblPrEx>
        <w:trPr>
          <w:trHeight w:val="440" w:hRule="atLeast"/>
        </w:trPr>
        <w:tc>
          <w:tcPr>
            <w:tcW w:w="2609"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4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4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2</w:t>
            </w: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3</w:t>
            </w:r>
          </w:p>
        </w:tc>
      </w:tr>
      <w:tr>
        <w:tblPrEx>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pStyle w:val="5"/>
              <w:jc w:val="center"/>
              <w:textAlignment w:val="center"/>
              <w:rPr>
                <w:rFonts w:ascii="宋体" w:hAnsi="宋体" w:cs="宋体"/>
                <w:color w:val="000000"/>
                <w:sz w:val="24"/>
              </w:rPr>
            </w:pPr>
            <w:r>
              <w:rPr>
                <w:rFonts w:ascii="宋体" w:hAnsi="宋体" w:cs="宋体"/>
                <w:color w:val="000000"/>
                <w:kern w:val="0"/>
                <w:sz w:val="24"/>
                <w:lang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440" w:hRule="atLeast"/>
        </w:trPr>
        <w:tc>
          <w:tcPr>
            <w:tcW w:w="2609"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pStyle w:val="5"/>
              <w:jc w:val="center"/>
              <w:rPr>
                <w:rFonts w:ascii="宋体" w:hAnsi="宋体" w:cs="宋体"/>
                <w:color w:val="000000"/>
                <w:sz w:val="24"/>
              </w:rPr>
            </w:pPr>
          </w:p>
        </w:tc>
        <w:tc>
          <w:tcPr>
            <w:tcW w:w="2250"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5"/>
              <w:rPr>
                <w:rFonts w:ascii="宋体" w:hAnsi="宋体" w:cs="宋体"/>
                <w:color w:val="000000"/>
                <w:sz w:val="24"/>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5"/>
              <w:rPr>
                <w:rFonts w:ascii="宋体" w:hAnsi="宋体" w:cs="宋体"/>
                <w:color w:val="000000"/>
                <w:sz w:val="24"/>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5"/>
              <w:rPr>
                <w:rFonts w:ascii="宋体" w:hAnsi="宋体" w:cs="宋体"/>
                <w:color w:val="000000"/>
                <w:sz w:val="24"/>
              </w:rPr>
            </w:pPr>
          </w:p>
        </w:tc>
        <w:tc>
          <w:tcPr>
            <w:tcW w:w="4074" w:type="dxa"/>
            <w:tcBorders>
              <w:top w:val="single" w:color="000000" w:sz="4" w:space="0"/>
              <w:left w:val="single" w:color="000000" w:sz="4" w:space="0"/>
              <w:bottom w:val="single" w:color="000000" w:sz="12" w:space="0"/>
              <w:right w:val="single" w:color="000000" w:sz="4" w:space="0"/>
            </w:tcBorders>
            <w:shd w:val="clear" w:color="auto" w:fill="auto"/>
            <w:vAlign w:val="center"/>
          </w:tcPr>
          <w:p>
            <w:pPr>
              <w:pStyle w:val="5"/>
              <w:rPr>
                <w:rFonts w:ascii="宋体" w:hAnsi="宋体" w:cs="宋体"/>
                <w:color w:val="000000"/>
                <w:sz w:val="24"/>
              </w:rPr>
            </w:pPr>
          </w:p>
        </w:tc>
      </w:tr>
      <w:tr>
        <w:tblPrEx>
          <w:tblCellMar>
            <w:top w:w="15" w:type="dxa"/>
            <w:left w:w="15" w:type="dxa"/>
            <w:bottom w:w="15" w:type="dxa"/>
            <w:right w:w="15" w:type="dxa"/>
          </w:tblCellMar>
        </w:tblPrEx>
        <w:trPr>
          <w:trHeight w:val="798" w:hRule="atLeast"/>
        </w:trPr>
        <w:tc>
          <w:tcPr>
            <w:tcW w:w="13519" w:type="dxa"/>
            <w:gridSpan w:val="6"/>
            <w:tcBorders>
              <w:top w:val="single" w:color="000000" w:sz="12" w:space="0"/>
            </w:tcBorders>
            <w:shd w:val="clear" w:color="auto" w:fill="auto"/>
            <w:vAlign w:val="center"/>
          </w:tcPr>
          <w:p>
            <w:pPr>
              <w:pStyle w:val="5"/>
              <w:jc w:val="left"/>
              <w:textAlignment w:val="center"/>
              <w:rPr>
                <w:rFonts w:ascii="宋体" w:hAnsi="宋体" w:cs="宋体"/>
                <w:color w:val="000000"/>
                <w:sz w:val="24"/>
              </w:rPr>
            </w:pPr>
            <w:r>
              <w:rPr>
                <w:rFonts w:ascii="宋体" w:hAnsi="宋体" w:cs="宋体"/>
                <w:color w:val="000000"/>
                <w:kern w:val="0"/>
                <w:sz w:val="24"/>
                <w:lang w:bidi="ar"/>
              </w:rPr>
              <w:t>注：本表反映部门本年度国有资本经营预算财政拨款支出情况。</w:t>
            </w:r>
          </w:p>
        </w:tc>
      </w:tr>
    </w:tbl>
    <w:p>
      <w:pPr>
        <w:sectPr>
          <w:headerReference r:id="rId11" w:type="default"/>
          <w:footerReference r:id="rId12" w:type="default"/>
          <w:pgSz w:w="16838" w:h="11906" w:orient="landscape"/>
          <w:pgMar w:top="1797" w:right="1440" w:bottom="1797" w:left="1440" w:header="851" w:footer="992" w:gutter="0"/>
          <w:cols w:space="720" w:num="1"/>
          <w:formProt w:val="0"/>
          <w:docGrid w:type="lines" w:linePitch="312" w:charSpace="91954"/>
        </w:sectPr>
      </w:pPr>
    </w:p>
    <w:p>
      <w:pPr>
        <w:pStyle w:val="5"/>
        <w:spacing w:line="560" w:lineRule="exact"/>
        <w:rPr>
          <w:rFonts w:ascii="仿宋_GB2312" w:hAnsi="仿宋_GB2312" w:eastAsia="仿宋_GB2312"/>
          <w:b/>
          <w:sz w:val="32"/>
          <w:szCs w:val="32"/>
        </w:rPr>
      </w:pPr>
      <w:r>
        <w:rPr>
          <w:rFonts w:ascii="仿宋_GB2312" w:hAnsi="仿宋_GB2312" w:eastAsia="仿宋_GB2312"/>
          <w:b/>
          <w:sz w:val="32"/>
          <w:szCs w:val="32"/>
        </w:rPr>
        <w:t>第三部分：</w:t>
      </w:r>
      <w:r>
        <w:rPr>
          <w:rFonts w:ascii="仿宋_GB2312" w:hAnsi="仿宋_GB2312" w:eastAsia="仿宋_GB2312"/>
          <w:b/>
          <w:bCs/>
          <w:color w:val="000000"/>
          <w:sz w:val="32"/>
          <w:szCs w:val="32"/>
          <w:u w:val="single"/>
        </w:rPr>
        <w:t>柳州市生态环境</w:t>
      </w:r>
      <w:r>
        <w:rPr>
          <w:rFonts w:hint="eastAsia" w:ascii="仿宋_GB2312" w:hAnsi="仿宋_GB2312" w:eastAsia="仿宋_GB2312"/>
          <w:b/>
          <w:bCs/>
          <w:color w:val="000000"/>
          <w:sz w:val="32"/>
          <w:szCs w:val="32"/>
          <w:u w:val="single"/>
        </w:rPr>
        <w:t>技术保障中心</w:t>
      </w:r>
      <w:r>
        <w:rPr>
          <w:rFonts w:ascii="仿宋_GB2312" w:hAnsi="仿宋_GB2312" w:eastAsia="仿宋_GB2312"/>
          <w:b/>
          <w:sz w:val="32"/>
          <w:szCs w:val="32"/>
        </w:rPr>
        <w:t>2020年度决算情况说明</w:t>
      </w:r>
    </w:p>
    <w:p>
      <w:pPr>
        <w:pStyle w:val="5"/>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一、</w:t>
      </w:r>
      <w:r>
        <w:rPr>
          <w:rFonts w:eastAsia="仿宋_GB2312"/>
          <w:b/>
          <w:kern w:val="0"/>
          <w:sz w:val="32"/>
          <w:szCs w:val="32"/>
        </w:rPr>
        <w:t>2020</w:t>
      </w:r>
      <w:r>
        <w:rPr>
          <w:rFonts w:ascii="仿宋_GB2312" w:hAnsi="仿宋_GB2312" w:eastAsia="仿宋_GB2312" w:cs="仿宋_GB2312"/>
          <w:b/>
          <w:kern w:val="0"/>
          <w:sz w:val="32"/>
          <w:szCs w:val="32"/>
        </w:rPr>
        <w:t>年度收入支出决算总体情况</w:t>
      </w:r>
    </w:p>
    <w:p>
      <w:pPr>
        <w:pStyle w:val="5"/>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 xml:space="preserve"> </w:t>
      </w:r>
      <w:r>
        <w:rPr>
          <w:rFonts w:ascii="仿宋_GB2312" w:hAnsi="仿宋_GB2312" w:eastAsia="仿宋_GB2312" w:cs="仿宋_GB2312"/>
          <w:bCs/>
          <w:kern w:val="0"/>
          <w:sz w:val="32"/>
          <w:szCs w:val="32"/>
        </w:rPr>
        <w:t>2020年度收入总计</w:t>
      </w:r>
      <w:r>
        <w:rPr>
          <w:rFonts w:hint="eastAsia" w:ascii="仿宋_GB2312" w:hAnsi="仿宋_GB2312" w:eastAsia="仿宋_GB2312" w:cs="仿宋_GB2312"/>
          <w:bCs/>
          <w:kern w:val="0"/>
          <w:sz w:val="32"/>
          <w:szCs w:val="32"/>
        </w:rPr>
        <w:t>495.31</w:t>
      </w:r>
      <w:r>
        <w:rPr>
          <w:rFonts w:ascii="仿宋_GB2312" w:hAnsi="仿宋_GB2312" w:eastAsia="仿宋_GB2312" w:cs="仿宋_GB2312"/>
          <w:bCs/>
          <w:kern w:val="0"/>
          <w:sz w:val="32"/>
          <w:szCs w:val="32"/>
        </w:rPr>
        <w:t>万元，支出总计</w:t>
      </w:r>
      <w:r>
        <w:rPr>
          <w:rFonts w:hint="eastAsia" w:ascii="仿宋_GB2312" w:hAnsi="仿宋_GB2312" w:eastAsia="仿宋_GB2312" w:cs="仿宋_GB2312"/>
          <w:bCs/>
          <w:kern w:val="0"/>
          <w:sz w:val="32"/>
          <w:szCs w:val="32"/>
        </w:rPr>
        <w:t>495.31</w:t>
      </w:r>
      <w:r>
        <w:rPr>
          <w:rFonts w:ascii="仿宋_GB2312" w:hAnsi="仿宋_GB2312" w:eastAsia="仿宋_GB2312" w:cs="仿宋_GB2312"/>
          <w:bCs/>
          <w:kern w:val="0"/>
          <w:sz w:val="32"/>
          <w:szCs w:val="32"/>
        </w:rPr>
        <w:t>万元，与2019年相比，收、支分别</w:t>
      </w:r>
      <w:r>
        <w:rPr>
          <w:rFonts w:hint="eastAsia" w:ascii="仿宋_GB2312" w:hAnsi="仿宋_GB2312" w:eastAsia="仿宋_GB2312" w:cs="仿宋_GB2312"/>
          <w:bCs/>
          <w:kern w:val="0"/>
          <w:sz w:val="32"/>
          <w:szCs w:val="32"/>
        </w:rPr>
        <w:t>增加284.28</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284.28</w:t>
      </w:r>
      <w:r>
        <w:rPr>
          <w:rFonts w:ascii="仿宋_GB2312" w:hAnsi="仿宋_GB2312" w:eastAsia="仿宋_GB2312" w:cs="仿宋_GB2312"/>
          <w:bCs/>
          <w:kern w:val="0"/>
          <w:sz w:val="32"/>
          <w:szCs w:val="32"/>
        </w:rPr>
        <w:t>万元；分别</w:t>
      </w:r>
      <w:r>
        <w:rPr>
          <w:rFonts w:hint="eastAsia" w:ascii="仿宋_GB2312" w:hAnsi="仿宋_GB2312" w:eastAsia="仿宋_GB2312" w:cs="仿宋_GB2312"/>
          <w:bCs/>
          <w:kern w:val="0"/>
          <w:sz w:val="32"/>
          <w:szCs w:val="32"/>
        </w:rPr>
        <w:t>增加134.71</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134.71</w:t>
      </w:r>
      <w:r>
        <w:rPr>
          <w:rFonts w:ascii="仿宋_GB2312" w:hAnsi="仿宋_GB2312" w:eastAsia="仿宋_GB2312" w:cs="仿宋_GB2312"/>
          <w:bCs/>
          <w:kern w:val="0"/>
          <w:sz w:val="32"/>
          <w:szCs w:val="32"/>
        </w:rPr>
        <w:t>%。</w:t>
      </w:r>
    </w:p>
    <w:p>
      <w:pPr>
        <w:pStyle w:val="5"/>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二、</w:t>
      </w:r>
      <w:r>
        <w:rPr>
          <w:rFonts w:eastAsia="仿宋_GB2312"/>
          <w:b/>
          <w:kern w:val="0"/>
          <w:sz w:val="32"/>
          <w:szCs w:val="32"/>
        </w:rPr>
        <w:t>2020</w:t>
      </w:r>
      <w:r>
        <w:rPr>
          <w:rFonts w:ascii="仿宋_GB2312" w:hAnsi="仿宋_GB2312" w:eastAsia="仿宋_GB2312" w:cs="仿宋_GB2312"/>
          <w:b/>
          <w:kern w:val="0"/>
          <w:sz w:val="32"/>
          <w:szCs w:val="32"/>
        </w:rPr>
        <w:t>年度收入决算情况</w:t>
      </w:r>
    </w:p>
    <w:p>
      <w:pPr>
        <w:pStyle w:val="5"/>
        <w:autoSpaceDE w:val="0"/>
        <w:autoSpaceDN w:val="0"/>
        <w:spacing w:line="560" w:lineRule="exact"/>
        <w:ind w:firstLine="640" w:firstLineChars="200"/>
        <w:jc w:val="left"/>
        <w:rPr>
          <w:rFonts w:ascii="仿宋_GB2312" w:hAnsi="仿宋_GB2312" w:eastAsia="仿宋_GB2312" w:cs="仿宋_GB2312"/>
          <w:b/>
          <w:kern w:val="0"/>
          <w:sz w:val="32"/>
          <w:szCs w:val="32"/>
        </w:rPr>
      </w:pPr>
      <w:r>
        <w:rPr>
          <w:rFonts w:ascii="仿宋_GB2312" w:hAnsi="仿宋_GB2312" w:eastAsia="仿宋_GB2312" w:cs="仿宋_GB2312"/>
          <w:bCs/>
          <w:kern w:val="0"/>
          <w:sz w:val="32"/>
          <w:szCs w:val="32"/>
        </w:rPr>
        <w:t>本年收入总计</w:t>
      </w:r>
      <w:r>
        <w:rPr>
          <w:rFonts w:hint="eastAsia" w:ascii="仿宋_GB2312" w:hAnsi="仿宋_GB2312" w:eastAsia="仿宋_GB2312" w:cs="仿宋_GB2312"/>
          <w:bCs/>
          <w:kern w:val="0"/>
          <w:sz w:val="32"/>
          <w:szCs w:val="32"/>
        </w:rPr>
        <w:t>495.31</w:t>
      </w:r>
      <w:r>
        <w:rPr>
          <w:rFonts w:ascii="仿宋_GB2312" w:hAnsi="仿宋_GB2312" w:eastAsia="仿宋_GB2312" w:cs="仿宋_GB2312"/>
          <w:bCs/>
          <w:kern w:val="0"/>
          <w:sz w:val="32"/>
          <w:szCs w:val="32"/>
        </w:rPr>
        <w:t>万元 ，其中：一般公共预算财政拨款收入</w:t>
      </w:r>
      <w:r>
        <w:rPr>
          <w:rFonts w:hint="eastAsia" w:ascii="仿宋_GB2312" w:hAnsi="仿宋_GB2312" w:eastAsia="仿宋_GB2312" w:cs="仿宋_GB2312"/>
          <w:bCs/>
          <w:kern w:val="0"/>
          <w:sz w:val="32"/>
          <w:szCs w:val="32"/>
        </w:rPr>
        <w:t>427.39</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86.29</w:t>
      </w:r>
      <w:r>
        <w:rPr>
          <w:rFonts w:ascii="仿宋_GB2312" w:hAnsi="仿宋_GB2312" w:eastAsia="仿宋_GB2312" w:cs="仿宋_GB2312"/>
          <w:bCs/>
          <w:kern w:val="0"/>
          <w:sz w:val="32"/>
          <w:szCs w:val="32"/>
        </w:rPr>
        <w:t>%；政府基金预算财政拨款收入0万元；占比0%；上级补助收入0万元，占比0% ；事业收入0万元，占比0% ；事业单位经营收入0万元，占比0%；其他收入</w:t>
      </w:r>
      <w:r>
        <w:rPr>
          <w:rFonts w:hint="eastAsia" w:ascii="仿宋_GB2312" w:hAnsi="仿宋_GB2312" w:eastAsia="仿宋_GB2312" w:cs="仿宋_GB2312"/>
          <w:bCs/>
          <w:kern w:val="0"/>
          <w:sz w:val="32"/>
          <w:szCs w:val="32"/>
        </w:rPr>
        <w:t>0.22</w:t>
      </w:r>
      <w:r>
        <w:rPr>
          <w:rFonts w:ascii="仿宋_GB2312" w:hAnsi="仿宋_GB2312" w:eastAsia="仿宋_GB2312" w:cs="仿宋_GB2312"/>
          <w:bCs/>
          <w:kern w:val="0"/>
          <w:sz w:val="32"/>
          <w:szCs w:val="32"/>
        </w:rPr>
        <w:t>万元，占比</w:t>
      </w:r>
      <w:r>
        <w:rPr>
          <w:rFonts w:hint="eastAsia" w:ascii="仿宋_GB2312" w:hAnsi="仿宋_GB2312" w:eastAsia="仿宋_GB2312" w:cs="仿宋_GB2312"/>
          <w:bCs/>
          <w:kern w:val="0"/>
          <w:sz w:val="32"/>
          <w:szCs w:val="32"/>
        </w:rPr>
        <w:t>0.04</w:t>
      </w:r>
      <w:r>
        <w:rPr>
          <w:rFonts w:ascii="仿宋_GB2312" w:hAnsi="仿宋_GB2312" w:eastAsia="仿宋_GB2312" w:cs="仿宋_GB2312"/>
          <w:bCs/>
          <w:kern w:val="0"/>
          <w:sz w:val="32"/>
          <w:szCs w:val="32"/>
        </w:rPr>
        <w:t>%；年初结转和结余</w:t>
      </w:r>
      <w:r>
        <w:rPr>
          <w:rFonts w:hint="eastAsia" w:ascii="仿宋_GB2312" w:hAnsi="仿宋_GB2312" w:eastAsia="仿宋_GB2312" w:cs="仿宋_GB2312"/>
          <w:bCs/>
          <w:kern w:val="0"/>
          <w:sz w:val="32"/>
          <w:szCs w:val="32"/>
        </w:rPr>
        <w:t>67.70</w:t>
      </w:r>
      <w:r>
        <w:rPr>
          <w:rFonts w:ascii="仿宋_GB2312" w:hAnsi="仿宋_GB2312" w:eastAsia="仿宋_GB2312" w:cs="仿宋_GB2312"/>
          <w:bCs/>
          <w:kern w:val="0"/>
          <w:sz w:val="32"/>
          <w:szCs w:val="32"/>
        </w:rPr>
        <w:t>万元，占比</w:t>
      </w:r>
      <w:r>
        <w:rPr>
          <w:rFonts w:hint="eastAsia" w:ascii="仿宋_GB2312" w:hAnsi="仿宋_GB2312" w:eastAsia="仿宋_GB2312" w:cs="仿宋_GB2312"/>
          <w:bCs/>
          <w:kern w:val="0"/>
          <w:sz w:val="32"/>
          <w:szCs w:val="32"/>
        </w:rPr>
        <w:t>13.67</w:t>
      </w:r>
      <w:r>
        <w:rPr>
          <w:rFonts w:ascii="仿宋_GB2312" w:hAnsi="仿宋_GB2312" w:eastAsia="仿宋_GB2312" w:cs="仿宋_GB2312"/>
          <w:bCs/>
          <w:kern w:val="0"/>
          <w:sz w:val="32"/>
          <w:szCs w:val="32"/>
        </w:rPr>
        <w:t>%。</w:t>
      </w:r>
    </w:p>
    <w:p>
      <w:pPr>
        <w:pStyle w:val="5"/>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三、</w:t>
      </w:r>
      <w:r>
        <w:rPr>
          <w:rFonts w:eastAsia="仿宋_GB2312"/>
          <w:b/>
          <w:kern w:val="0"/>
          <w:sz w:val="32"/>
          <w:szCs w:val="32"/>
        </w:rPr>
        <w:t>2020</w:t>
      </w:r>
      <w:r>
        <w:rPr>
          <w:rFonts w:ascii="仿宋_GB2312" w:hAnsi="仿宋_GB2312" w:eastAsia="仿宋_GB2312" w:cs="仿宋_GB2312"/>
          <w:b/>
          <w:kern w:val="0"/>
          <w:sz w:val="32"/>
          <w:szCs w:val="32"/>
        </w:rPr>
        <w:t>年度支出决算情况</w:t>
      </w:r>
    </w:p>
    <w:p>
      <w:pPr>
        <w:pStyle w:val="5"/>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本年支出合计</w:t>
      </w:r>
      <w:r>
        <w:rPr>
          <w:rFonts w:hint="eastAsia" w:ascii="仿宋_GB2312" w:hAnsi="仿宋_GB2312" w:eastAsia="仿宋_GB2312" w:cs="仿宋_GB2312"/>
          <w:bCs/>
          <w:kern w:val="0"/>
          <w:sz w:val="32"/>
          <w:szCs w:val="32"/>
        </w:rPr>
        <w:t>478.29</w:t>
      </w:r>
      <w:r>
        <w:rPr>
          <w:rFonts w:ascii="仿宋_GB2312" w:hAnsi="仿宋_GB2312" w:eastAsia="仿宋_GB2312" w:cs="仿宋_GB2312"/>
          <w:bCs/>
          <w:kern w:val="0"/>
          <w:sz w:val="32"/>
          <w:szCs w:val="32"/>
        </w:rPr>
        <w:t xml:space="preserve"> 万元，其中：基本支出</w:t>
      </w:r>
      <w:r>
        <w:rPr>
          <w:rFonts w:hint="eastAsia" w:ascii="仿宋_GB2312" w:hAnsi="仿宋_GB2312" w:eastAsia="仿宋_GB2312" w:cs="仿宋_GB2312"/>
          <w:bCs/>
          <w:kern w:val="0"/>
          <w:sz w:val="32"/>
          <w:szCs w:val="32"/>
        </w:rPr>
        <w:t>191.37</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40.01</w:t>
      </w:r>
      <w:r>
        <w:rPr>
          <w:rFonts w:ascii="仿宋_GB2312" w:hAnsi="仿宋_GB2312" w:eastAsia="仿宋_GB2312" w:cs="仿宋_GB2312"/>
          <w:bCs/>
          <w:kern w:val="0"/>
          <w:sz w:val="32"/>
          <w:szCs w:val="32"/>
        </w:rPr>
        <w:t>%；项目支出</w:t>
      </w:r>
      <w:r>
        <w:rPr>
          <w:rFonts w:hint="eastAsia" w:ascii="仿宋_GB2312" w:hAnsi="仿宋_GB2312" w:eastAsia="仿宋_GB2312" w:cs="仿宋_GB2312"/>
          <w:bCs/>
          <w:kern w:val="0"/>
          <w:sz w:val="32"/>
          <w:szCs w:val="32"/>
        </w:rPr>
        <w:t>286.92</w:t>
      </w:r>
      <w:r>
        <w:rPr>
          <w:rFonts w:ascii="仿宋_GB2312" w:hAnsi="仿宋_GB2312" w:eastAsia="仿宋_GB2312" w:cs="仿宋_GB2312"/>
          <w:bCs/>
          <w:kern w:val="0"/>
          <w:sz w:val="32"/>
          <w:szCs w:val="32"/>
        </w:rPr>
        <w:t>万元， 占</w:t>
      </w:r>
      <w:r>
        <w:rPr>
          <w:rFonts w:hint="eastAsia" w:ascii="仿宋_GB2312" w:hAnsi="仿宋_GB2312" w:eastAsia="仿宋_GB2312" w:cs="仿宋_GB2312"/>
          <w:bCs/>
          <w:kern w:val="0"/>
          <w:sz w:val="32"/>
          <w:szCs w:val="32"/>
        </w:rPr>
        <w:t>59.99</w:t>
      </w:r>
      <w:r>
        <w:rPr>
          <w:rFonts w:ascii="仿宋_GB2312" w:hAnsi="仿宋_GB2312" w:eastAsia="仿宋_GB2312" w:cs="仿宋_GB2312"/>
          <w:bCs/>
          <w:kern w:val="0"/>
          <w:sz w:val="32"/>
          <w:szCs w:val="32"/>
        </w:rPr>
        <w:t>%；经营支出0万元，占0%。</w:t>
      </w:r>
    </w:p>
    <w:p>
      <w:pPr>
        <w:pStyle w:val="5"/>
        <w:autoSpaceDE w:val="0"/>
        <w:autoSpaceDN w:val="0"/>
        <w:spacing w:line="56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四、</w:t>
      </w:r>
      <w:r>
        <w:rPr>
          <w:rFonts w:eastAsia="仿宋_GB2312"/>
          <w:b/>
          <w:kern w:val="0"/>
          <w:sz w:val="32"/>
          <w:szCs w:val="32"/>
        </w:rPr>
        <w:t>2020</w:t>
      </w:r>
      <w:r>
        <w:rPr>
          <w:rFonts w:ascii="仿宋_GB2312" w:hAnsi="仿宋_GB2312" w:eastAsia="仿宋_GB2312" w:cs="仿宋_GB2312"/>
          <w:b/>
          <w:kern w:val="0"/>
          <w:sz w:val="32"/>
          <w:szCs w:val="32"/>
        </w:rPr>
        <w:t>年度财政拨款收入支出决算情况</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 xml:space="preserve">  </w:t>
      </w:r>
      <w:r>
        <w:rPr>
          <w:rFonts w:ascii="仿宋_GB2312" w:hAnsi="仿宋_GB2312" w:eastAsia="仿宋_GB2312" w:cs="仿宋_GB2312"/>
          <w:bCs/>
          <w:kern w:val="0"/>
          <w:sz w:val="32"/>
          <w:szCs w:val="32"/>
        </w:rPr>
        <w:t>本</w:t>
      </w:r>
      <w:r>
        <w:rPr>
          <w:rFonts w:hint="eastAsia" w:ascii="仿宋_GB2312" w:hAnsi="仿宋_GB2312" w:eastAsia="仿宋_GB2312" w:cs="仿宋_GB2312"/>
          <w:bCs/>
          <w:kern w:val="0"/>
          <w:sz w:val="32"/>
          <w:szCs w:val="32"/>
        </w:rPr>
        <w:t>单位</w:t>
      </w:r>
      <w:r>
        <w:rPr>
          <w:rFonts w:ascii="仿宋_GB2312" w:hAnsi="仿宋_GB2312" w:eastAsia="仿宋_GB2312" w:cs="仿宋_GB2312"/>
          <w:bCs/>
          <w:kern w:val="0"/>
          <w:sz w:val="32"/>
          <w:szCs w:val="32"/>
        </w:rPr>
        <w:t>2020年度财政拨款收、支总计决算</w:t>
      </w:r>
      <w:r>
        <w:rPr>
          <w:rFonts w:hint="eastAsia" w:ascii="仿宋_GB2312" w:hAnsi="仿宋_GB2312" w:eastAsia="仿宋_GB2312" w:cs="仿宋_GB2312"/>
          <w:bCs/>
          <w:kern w:val="0"/>
          <w:sz w:val="32"/>
          <w:szCs w:val="32"/>
        </w:rPr>
        <w:t>488.83</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488.83</w:t>
      </w:r>
      <w:r>
        <w:rPr>
          <w:rFonts w:ascii="仿宋_GB2312" w:hAnsi="仿宋_GB2312" w:eastAsia="仿宋_GB2312" w:cs="仿宋_GB2312"/>
          <w:bCs/>
          <w:kern w:val="0"/>
          <w:sz w:val="32"/>
          <w:szCs w:val="32"/>
        </w:rPr>
        <w:t>万元。与 2019年相比，财政拨款收、支总计各</w:t>
      </w:r>
      <w:r>
        <w:rPr>
          <w:rFonts w:hint="eastAsia" w:ascii="仿宋_GB2312" w:hAnsi="仿宋_GB2312" w:eastAsia="仿宋_GB2312" w:cs="仿宋_GB2312"/>
          <w:bCs/>
          <w:kern w:val="0"/>
          <w:sz w:val="32"/>
          <w:szCs w:val="32"/>
        </w:rPr>
        <w:t>增加108.40</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增加28.49</w:t>
      </w:r>
      <w:r>
        <w:rPr>
          <w:rFonts w:ascii="仿宋_GB2312" w:hAnsi="仿宋_GB2312" w:eastAsia="仿宋_GB2312" w:cs="仿宋_GB2312"/>
          <w:bCs/>
          <w:kern w:val="0"/>
          <w:sz w:val="32"/>
          <w:szCs w:val="32"/>
        </w:rPr>
        <w:t>%。</w:t>
      </w:r>
    </w:p>
    <w:p>
      <w:pPr>
        <w:pStyle w:val="5"/>
        <w:autoSpaceDE w:val="0"/>
        <w:autoSpaceDN w:val="0"/>
        <w:spacing w:line="560" w:lineRule="exact"/>
        <w:jc w:val="left"/>
        <w:rPr>
          <w:rFonts w:eastAsia="仿宋_GB2312"/>
          <w:b/>
          <w:kern w:val="0"/>
          <w:sz w:val="32"/>
          <w:szCs w:val="32"/>
        </w:rPr>
      </w:pPr>
      <w:r>
        <w:rPr>
          <w:rFonts w:ascii="仿宋_GB2312" w:hAnsi="仿宋_GB2312" w:eastAsia="仿宋_GB2312" w:cs="仿宋_GB2312"/>
          <w:b/>
          <w:kern w:val="0"/>
          <w:sz w:val="32"/>
          <w:szCs w:val="32"/>
        </w:rPr>
        <w:t>五、</w:t>
      </w:r>
      <w:r>
        <w:rPr>
          <w:rFonts w:eastAsia="仿宋_GB2312"/>
          <w:b/>
          <w:kern w:val="0"/>
          <w:sz w:val="32"/>
          <w:szCs w:val="32"/>
        </w:rPr>
        <w:t>2020年度一般公共预算财政拨款支出决算情况</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（一）财政拨款支出决算情况。 </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单位</w:t>
      </w:r>
      <w:r>
        <w:rPr>
          <w:rFonts w:ascii="仿宋_GB2312" w:hAnsi="仿宋_GB2312" w:eastAsia="仿宋_GB2312" w:cs="仿宋_GB2312"/>
          <w:bCs/>
          <w:kern w:val="0"/>
          <w:sz w:val="32"/>
          <w:szCs w:val="32"/>
        </w:rPr>
        <w:t>2020年度财政拨款支出</w:t>
      </w:r>
      <w:r>
        <w:rPr>
          <w:rFonts w:hint="eastAsia" w:ascii="仿宋_GB2312" w:hAnsi="仿宋_GB2312" w:eastAsia="仿宋_GB2312" w:cs="仿宋_GB2312"/>
          <w:bCs/>
          <w:kern w:val="0"/>
          <w:sz w:val="32"/>
          <w:szCs w:val="32"/>
        </w:rPr>
        <w:t>478.29</w:t>
      </w:r>
      <w:r>
        <w:rPr>
          <w:rFonts w:ascii="仿宋_GB2312" w:hAnsi="仿宋_GB2312" w:eastAsia="仿宋_GB2312" w:cs="仿宋_GB2312"/>
          <w:bCs/>
          <w:kern w:val="0"/>
          <w:sz w:val="32"/>
          <w:szCs w:val="32"/>
        </w:rPr>
        <w:t>万元，占本年支出合计的</w:t>
      </w:r>
      <w:r>
        <w:rPr>
          <w:rFonts w:hint="eastAsia" w:ascii="仿宋_GB2312" w:hAnsi="仿宋_GB2312" w:eastAsia="仿宋_GB2312" w:cs="仿宋_GB2312"/>
          <w:bCs/>
          <w:kern w:val="0"/>
          <w:sz w:val="32"/>
          <w:szCs w:val="32"/>
        </w:rPr>
        <w:t>100</w:t>
      </w:r>
      <w:r>
        <w:rPr>
          <w:rFonts w:ascii="仿宋_GB2312" w:hAnsi="仿宋_GB2312" w:eastAsia="仿宋_GB2312" w:cs="仿宋_GB2312"/>
          <w:bCs/>
          <w:kern w:val="0"/>
          <w:sz w:val="32"/>
          <w:szCs w:val="32"/>
        </w:rPr>
        <w:t>%。与2019年相比，财政拨款支出</w:t>
      </w:r>
      <w:r>
        <w:rPr>
          <w:rFonts w:hint="eastAsia" w:ascii="仿宋_GB2312" w:hAnsi="仿宋_GB2312" w:eastAsia="仿宋_GB2312" w:cs="仿宋_GB2312"/>
          <w:bCs/>
          <w:kern w:val="0"/>
          <w:sz w:val="32"/>
          <w:szCs w:val="32"/>
        </w:rPr>
        <w:t>增加157.78</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增加49.23</w:t>
      </w:r>
      <w:r>
        <w:rPr>
          <w:rFonts w:ascii="仿宋_GB2312" w:hAnsi="仿宋_GB2312" w:eastAsia="仿宋_GB2312" w:cs="仿宋_GB2312"/>
          <w:bCs/>
          <w:kern w:val="0"/>
          <w:sz w:val="32"/>
          <w:szCs w:val="32"/>
        </w:rPr>
        <w:t>%。</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（二）财政拨款支出决算结构情况（根据公开表格作表述）</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2020年度财政拨款支出</w:t>
      </w:r>
      <w:r>
        <w:rPr>
          <w:rFonts w:hint="eastAsia" w:ascii="仿宋_GB2312" w:hAnsi="仿宋_GB2312" w:eastAsia="仿宋_GB2312" w:cs="仿宋_GB2312"/>
          <w:bCs/>
          <w:kern w:val="0"/>
          <w:sz w:val="32"/>
          <w:szCs w:val="32"/>
        </w:rPr>
        <w:t>478.29</w:t>
      </w:r>
      <w:r>
        <w:rPr>
          <w:rFonts w:ascii="仿宋_GB2312" w:hAnsi="仿宋_GB2312" w:eastAsia="仿宋_GB2312" w:cs="仿宋_GB2312"/>
          <w:bCs/>
          <w:kern w:val="0"/>
          <w:sz w:val="32"/>
          <w:szCs w:val="32"/>
        </w:rPr>
        <w:t>万元，主要用于以下方面：一般公共服务（类）支出0万元，占0%；教育（类）支出0万元，占0%；科学技术（类）支出0万元，占0%；文化体育与传媒（类）支出0万元，占0%；社会保障和就业（类）支出</w:t>
      </w:r>
      <w:r>
        <w:rPr>
          <w:rFonts w:hint="eastAsia" w:ascii="仿宋_GB2312" w:hAnsi="仿宋_GB2312" w:eastAsia="仿宋_GB2312" w:cs="仿宋_GB2312"/>
          <w:bCs/>
          <w:kern w:val="0"/>
          <w:sz w:val="32"/>
          <w:szCs w:val="32"/>
        </w:rPr>
        <w:t>29.41</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6.15</w:t>
      </w:r>
      <w:r>
        <w:rPr>
          <w:rFonts w:ascii="仿宋_GB2312" w:hAnsi="仿宋_GB2312" w:eastAsia="仿宋_GB2312" w:cs="仿宋_GB2312"/>
          <w:bCs/>
          <w:kern w:val="0"/>
          <w:sz w:val="32"/>
          <w:szCs w:val="32"/>
        </w:rPr>
        <w:t>%；卫生健康支出（类）支出</w:t>
      </w:r>
      <w:r>
        <w:rPr>
          <w:rFonts w:hint="eastAsia" w:ascii="仿宋_GB2312" w:hAnsi="仿宋_GB2312" w:eastAsia="仿宋_GB2312" w:cs="仿宋_GB2312"/>
          <w:bCs/>
          <w:kern w:val="0"/>
          <w:sz w:val="32"/>
          <w:szCs w:val="32"/>
        </w:rPr>
        <w:t>9.89</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2.07</w:t>
      </w:r>
      <w:r>
        <w:rPr>
          <w:rFonts w:ascii="仿宋_GB2312" w:hAnsi="仿宋_GB2312" w:eastAsia="仿宋_GB2312" w:cs="仿宋_GB2312"/>
          <w:bCs/>
          <w:kern w:val="0"/>
          <w:sz w:val="32"/>
          <w:szCs w:val="32"/>
        </w:rPr>
        <w:t>%；节能环保支出（类）</w:t>
      </w:r>
      <w:r>
        <w:rPr>
          <w:rFonts w:hint="eastAsia" w:ascii="仿宋_GB2312" w:hAnsi="仿宋_GB2312" w:eastAsia="仿宋_GB2312" w:cs="仿宋_GB2312"/>
          <w:bCs/>
          <w:kern w:val="0"/>
          <w:sz w:val="32"/>
          <w:szCs w:val="32"/>
        </w:rPr>
        <w:t>423.30</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88.50</w:t>
      </w:r>
      <w:r>
        <w:rPr>
          <w:rFonts w:ascii="仿宋_GB2312" w:hAnsi="仿宋_GB2312" w:eastAsia="仿宋_GB2312" w:cs="仿宋_GB2312"/>
          <w:bCs/>
          <w:kern w:val="0"/>
          <w:sz w:val="32"/>
          <w:szCs w:val="32"/>
        </w:rPr>
        <w:t xml:space="preserve"> %；城乡社区支出（类）</w:t>
      </w:r>
      <w:r>
        <w:rPr>
          <w:rFonts w:hint="eastAsia" w:ascii="仿宋_GB2312" w:hAnsi="仿宋_GB2312" w:eastAsia="仿宋_GB2312" w:cs="仿宋_GB2312"/>
          <w:bCs/>
          <w:kern w:val="0"/>
          <w:sz w:val="32"/>
          <w:szCs w:val="32"/>
        </w:rPr>
        <w:t>0</w:t>
      </w:r>
      <w:r>
        <w:rPr>
          <w:rFonts w:ascii="仿宋_GB2312" w:hAnsi="仿宋_GB2312" w:eastAsia="仿宋_GB2312" w:cs="仿宋_GB2312"/>
          <w:bCs/>
          <w:kern w:val="0"/>
          <w:sz w:val="32"/>
          <w:szCs w:val="32"/>
        </w:rPr>
        <w:t>万元，占0%；资源勘探信息等支出（类）0万元，占0%； 住房保障（类）支出</w:t>
      </w:r>
      <w:r>
        <w:rPr>
          <w:rFonts w:hint="eastAsia" w:ascii="仿宋_GB2312" w:hAnsi="仿宋_GB2312" w:eastAsia="仿宋_GB2312" w:cs="仿宋_GB2312"/>
          <w:bCs/>
          <w:kern w:val="0"/>
          <w:sz w:val="32"/>
          <w:szCs w:val="32"/>
        </w:rPr>
        <w:t>15.69</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3.28</w:t>
      </w:r>
      <w:r>
        <w:rPr>
          <w:rFonts w:ascii="仿宋_GB2312" w:hAnsi="仿宋_GB2312" w:eastAsia="仿宋_GB2312" w:cs="仿宋_GB2312"/>
          <w:bCs/>
          <w:kern w:val="0"/>
          <w:sz w:val="32"/>
          <w:szCs w:val="32"/>
        </w:rPr>
        <w:t>%。</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（三）财政拨款支出决算具体情况</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 xml:space="preserve">   </w:t>
      </w:r>
      <w:r>
        <w:rPr>
          <w:rFonts w:ascii="仿宋_GB2312" w:hAnsi="仿宋_GB2312" w:eastAsia="仿宋_GB2312" w:cs="仿宋_GB2312"/>
          <w:bCs/>
          <w:kern w:val="0"/>
          <w:sz w:val="32"/>
          <w:szCs w:val="32"/>
        </w:rPr>
        <w:t>2020年度财政拨款支出年初预算为</w:t>
      </w:r>
      <w:r>
        <w:rPr>
          <w:rFonts w:hint="eastAsia" w:ascii="仿宋_GB2312" w:hAnsi="仿宋_GB2312" w:eastAsia="仿宋_GB2312" w:cs="仿宋_GB2312"/>
          <w:bCs/>
          <w:kern w:val="0"/>
          <w:sz w:val="32"/>
          <w:szCs w:val="32"/>
        </w:rPr>
        <w:t>418.69</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478.29</w:t>
      </w:r>
      <w:r>
        <w:rPr>
          <w:rFonts w:ascii="仿宋_GB2312" w:hAnsi="仿宋_GB2312" w:eastAsia="仿宋_GB2312" w:cs="仿宋_GB2312"/>
          <w:bCs/>
          <w:kern w:val="0"/>
          <w:sz w:val="32"/>
          <w:szCs w:val="32"/>
        </w:rPr>
        <w:t>万元，完成年初预算的</w:t>
      </w:r>
      <w:r>
        <w:rPr>
          <w:rFonts w:hint="eastAsia" w:ascii="仿宋_GB2312" w:hAnsi="仿宋_GB2312" w:eastAsia="仿宋_GB2312" w:cs="仿宋_GB2312"/>
          <w:bCs/>
          <w:kern w:val="0"/>
          <w:sz w:val="32"/>
          <w:szCs w:val="32"/>
        </w:rPr>
        <w:t>114.23</w:t>
      </w:r>
      <w:r>
        <w:rPr>
          <w:rFonts w:ascii="仿宋_GB2312" w:hAnsi="仿宋_GB2312" w:eastAsia="仿宋_GB2312" w:cs="仿宋_GB2312"/>
          <w:bCs/>
          <w:kern w:val="0"/>
          <w:sz w:val="32"/>
          <w:szCs w:val="32"/>
        </w:rPr>
        <w:t xml:space="preserve">%。决算数大于预算数的主要原因：一是年中追加安排财政拨款支出预算,二是部分支出按规定，通过使用以前年度财政拨款结转资金解决。其中：（根据公开表格作表述，有则表述） </w:t>
      </w:r>
    </w:p>
    <w:p>
      <w:pPr>
        <w:pStyle w:val="5"/>
        <w:numPr>
          <w:ilvl w:val="0"/>
          <w:numId w:val="1"/>
        </w:numPr>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节能环保支出（类）污染</w:t>
      </w:r>
      <w:r>
        <w:rPr>
          <w:rFonts w:hint="eastAsia" w:ascii="仿宋_GB2312" w:hAnsi="仿宋_GB2312" w:eastAsia="仿宋_GB2312" w:cs="仿宋_GB2312"/>
          <w:bCs/>
          <w:kern w:val="0"/>
          <w:sz w:val="32"/>
          <w:szCs w:val="32"/>
        </w:rPr>
        <w:t>减排</w:t>
      </w:r>
      <w:r>
        <w:rPr>
          <w:rFonts w:ascii="仿宋_GB2312" w:hAnsi="仿宋_GB2312" w:eastAsia="仿宋_GB2312" w:cs="仿宋_GB2312"/>
          <w:bCs/>
          <w:kern w:val="0"/>
          <w:sz w:val="32"/>
          <w:szCs w:val="32"/>
        </w:rPr>
        <w:t>（款）</w:t>
      </w:r>
      <w:r>
        <w:rPr>
          <w:rFonts w:hint="eastAsia" w:ascii="仿宋_GB2312" w:hAnsi="仿宋_GB2312" w:eastAsia="仿宋_GB2312" w:cs="仿宋_GB2312"/>
          <w:bCs/>
          <w:kern w:val="0"/>
          <w:sz w:val="32"/>
          <w:szCs w:val="32"/>
        </w:rPr>
        <w:t>生态环境监测与信息（项）（2111101）</w:t>
      </w:r>
      <w:r>
        <w:rPr>
          <w:rFonts w:ascii="仿宋_GB2312" w:hAnsi="仿宋_GB2312" w:eastAsia="仿宋_GB2312" w:cs="仿宋_GB2312"/>
          <w:bCs/>
          <w:kern w:val="0"/>
          <w:sz w:val="32"/>
          <w:szCs w:val="32"/>
        </w:rPr>
        <w:t>年初预算为</w:t>
      </w:r>
      <w:r>
        <w:rPr>
          <w:rFonts w:hint="eastAsia" w:ascii="仿宋_GB2312" w:hAnsi="仿宋_GB2312" w:eastAsia="仿宋_GB2312" w:cs="仿宋_GB2312"/>
          <w:bCs/>
          <w:kern w:val="0"/>
          <w:sz w:val="32"/>
          <w:szCs w:val="32"/>
        </w:rPr>
        <w:t>142.89</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152.87</w:t>
      </w:r>
      <w:r>
        <w:rPr>
          <w:rFonts w:ascii="仿宋_GB2312" w:hAnsi="仿宋_GB2312" w:eastAsia="仿宋_GB2312" w:cs="仿宋_GB2312"/>
          <w:bCs/>
          <w:kern w:val="0"/>
          <w:sz w:val="32"/>
          <w:szCs w:val="32"/>
        </w:rPr>
        <w:t>万元。决算数大于预算数的主要原因是</w:t>
      </w:r>
      <w:r>
        <w:rPr>
          <w:rFonts w:hint="eastAsia" w:ascii="仿宋_GB2312" w:hAnsi="仿宋_GB2312" w:eastAsia="仿宋_GB2312" w:cs="仿宋_GB2312"/>
          <w:bCs/>
          <w:kern w:val="0"/>
          <w:sz w:val="32"/>
          <w:szCs w:val="32"/>
        </w:rPr>
        <w:t>增人增资</w:t>
      </w:r>
      <w:r>
        <w:rPr>
          <w:rFonts w:ascii="仿宋_GB2312" w:hAnsi="仿宋_GB2312" w:eastAsia="仿宋_GB2312" w:cs="仿宋_GB2312"/>
          <w:bCs/>
          <w:kern w:val="0"/>
          <w:sz w:val="32"/>
          <w:szCs w:val="32"/>
        </w:rPr>
        <w:t>追加</w:t>
      </w:r>
      <w:r>
        <w:rPr>
          <w:rFonts w:hint="eastAsia" w:ascii="仿宋_GB2312" w:hAnsi="仿宋_GB2312" w:eastAsia="仿宋_GB2312" w:cs="仿宋_GB2312"/>
          <w:bCs/>
          <w:kern w:val="0"/>
          <w:sz w:val="32"/>
          <w:szCs w:val="32"/>
        </w:rPr>
        <w:t>9.98</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w:t>
      </w:r>
    </w:p>
    <w:p>
      <w:pPr>
        <w:pStyle w:val="5"/>
        <w:numPr>
          <w:ilvl w:val="0"/>
          <w:numId w:val="1"/>
        </w:numPr>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使用以前年度财政拨款结转资金</w:t>
      </w:r>
      <w:r>
        <w:rPr>
          <w:rFonts w:hint="eastAsia" w:ascii="仿宋_GB2312" w:hAnsi="仿宋_GB2312" w:eastAsia="仿宋_GB2312" w:cs="仿宋_GB2312"/>
          <w:bCs/>
          <w:kern w:val="0"/>
          <w:sz w:val="32"/>
          <w:szCs w:val="32"/>
        </w:rPr>
        <w:t>50.91万元。</w:t>
      </w:r>
    </w:p>
    <w:p>
      <w:pPr>
        <w:pStyle w:val="5"/>
        <w:autoSpaceDE w:val="0"/>
        <w:autoSpaceDN w:val="0"/>
        <w:spacing w:line="560" w:lineRule="exact"/>
        <w:jc w:val="left"/>
        <w:rPr>
          <w:rFonts w:ascii="仿宋_GB2312" w:hAnsi="仿宋_GB2312" w:eastAsia="仿宋_GB2312" w:cs="仿宋_GB2312"/>
          <w:bCs/>
          <w:kern w:val="0"/>
          <w:sz w:val="32"/>
          <w:szCs w:val="32"/>
        </w:rPr>
      </w:pPr>
    </w:p>
    <w:p>
      <w:pPr>
        <w:pStyle w:val="5"/>
        <w:autoSpaceDE w:val="0"/>
        <w:autoSpaceDN w:val="0"/>
        <w:spacing w:line="560" w:lineRule="exact"/>
        <w:ind w:firstLine="320" w:firstLineChars="100"/>
        <w:jc w:val="left"/>
        <w:rPr>
          <w:rFonts w:ascii="仿宋_GB2312" w:hAnsi="仿宋_GB2312" w:eastAsia="仿宋_GB2312" w:cs="仿宋_GB2312"/>
          <w:b/>
          <w:kern w:val="0"/>
          <w:sz w:val="32"/>
          <w:szCs w:val="32"/>
        </w:rPr>
      </w:pPr>
      <w:r>
        <w:rPr>
          <w:rFonts w:ascii="仿宋_GB2312" w:hAnsi="仿宋_GB2312" w:eastAsia="仿宋_GB2312" w:cs="仿宋_GB2312"/>
          <w:bCs/>
          <w:kern w:val="0"/>
          <w:sz w:val="32"/>
          <w:szCs w:val="32"/>
        </w:rPr>
        <w:t>六、</w:t>
      </w:r>
      <w:r>
        <w:rPr>
          <w:rFonts w:ascii="仿宋_GB2312" w:hAnsi="仿宋_GB2312" w:eastAsia="仿宋_GB2312" w:cs="仿宋_GB2312"/>
          <w:b/>
          <w:kern w:val="0"/>
          <w:sz w:val="32"/>
          <w:szCs w:val="32"/>
        </w:rPr>
        <w:t>2020年度一般公共预算财政拨款基本支出决算情况</w:t>
      </w:r>
    </w:p>
    <w:p>
      <w:pPr>
        <w:pStyle w:val="5"/>
        <w:autoSpaceDE w:val="0"/>
        <w:autoSpaceDN w:val="0"/>
        <w:spacing w:line="560" w:lineRule="exact"/>
        <w:ind w:firstLine="640" w:firstLineChars="20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2020年度财政拨款基本支出</w:t>
      </w:r>
      <w:r>
        <w:rPr>
          <w:rFonts w:hint="eastAsia" w:ascii="仿宋_GB2312" w:hAnsi="仿宋_GB2312" w:eastAsia="仿宋_GB2312" w:cs="仿宋_GB2312"/>
          <w:bCs/>
          <w:kern w:val="0"/>
          <w:sz w:val="32"/>
          <w:szCs w:val="32"/>
        </w:rPr>
        <w:t>191.37</w:t>
      </w:r>
      <w:r>
        <w:rPr>
          <w:rFonts w:ascii="仿宋_GB2312" w:hAnsi="仿宋_GB2312" w:eastAsia="仿宋_GB2312" w:cs="仿宋_GB2312"/>
          <w:bCs/>
          <w:kern w:val="0"/>
          <w:sz w:val="32"/>
          <w:szCs w:val="32"/>
        </w:rPr>
        <w:t>万元，其中：</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人员经费</w:t>
      </w:r>
      <w:r>
        <w:rPr>
          <w:rFonts w:hint="eastAsia" w:ascii="仿宋_GB2312" w:hAnsi="仿宋_GB2312" w:eastAsia="仿宋_GB2312" w:cs="仿宋_GB2312"/>
          <w:bCs/>
          <w:kern w:val="0"/>
          <w:sz w:val="32"/>
          <w:szCs w:val="32"/>
        </w:rPr>
        <w:t>174.33</w:t>
      </w:r>
      <w:r>
        <w:rPr>
          <w:rFonts w:ascii="仿宋_GB2312" w:hAnsi="仿宋_GB2312" w:eastAsia="仿宋_GB2312" w:cs="仿宋_GB2312"/>
          <w:bCs/>
          <w:kern w:val="0"/>
          <w:sz w:val="32"/>
          <w:szCs w:val="32"/>
        </w:rPr>
        <w:t>万元，主要包括：基本工资</w:t>
      </w:r>
      <w:r>
        <w:rPr>
          <w:rFonts w:hint="eastAsia" w:ascii="仿宋_GB2312" w:hAnsi="仿宋_GB2312" w:eastAsia="仿宋_GB2312" w:cs="仿宋_GB2312"/>
          <w:bCs/>
          <w:kern w:val="0"/>
          <w:sz w:val="32"/>
          <w:szCs w:val="32"/>
        </w:rPr>
        <w:t>39.44</w:t>
      </w:r>
      <w:r>
        <w:rPr>
          <w:rFonts w:ascii="仿宋_GB2312" w:hAnsi="仿宋_GB2312" w:eastAsia="仿宋_GB2312" w:cs="仿宋_GB2312"/>
          <w:bCs/>
          <w:kern w:val="0"/>
          <w:sz w:val="32"/>
          <w:szCs w:val="32"/>
        </w:rPr>
        <w:t>万元、津贴补贴</w:t>
      </w:r>
      <w:r>
        <w:rPr>
          <w:rFonts w:hint="eastAsia" w:ascii="仿宋_GB2312" w:hAnsi="仿宋_GB2312" w:eastAsia="仿宋_GB2312" w:cs="仿宋_GB2312"/>
          <w:bCs/>
          <w:kern w:val="0"/>
          <w:sz w:val="32"/>
          <w:szCs w:val="32"/>
        </w:rPr>
        <w:t>2.16</w:t>
      </w:r>
      <w:r>
        <w:rPr>
          <w:rFonts w:ascii="仿宋_GB2312" w:hAnsi="仿宋_GB2312" w:eastAsia="仿宋_GB2312" w:cs="仿宋_GB2312"/>
          <w:bCs/>
          <w:kern w:val="0"/>
          <w:sz w:val="32"/>
          <w:szCs w:val="32"/>
        </w:rPr>
        <w:t>万元、奖金</w:t>
      </w:r>
      <w:r>
        <w:rPr>
          <w:rFonts w:hint="eastAsia" w:ascii="仿宋_GB2312" w:hAnsi="仿宋_GB2312" w:eastAsia="仿宋_GB2312" w:cs="仿宋_GB2312"/>
          <w:bCs/>
          <w:kern w:val="0"/>
          <w:sz w:val="32"/>
          <w:szCs w:val="32"/>
        </w:rPr>
        <w:t>0.30</w:t>
      </w:r>
      <w:r>
        <w:rPr>
          <w:rFonts w:ascii="仿宋_GB2312" w:hAnsi="仿宋_GB2312" w:eastAsia="仿宋_GB2312" w:cs="仿宋_GB2312"/>
          <w:bCs/>
          <w:kern w:val="0"/>
          <w:sz w:val="32"/>
          <w:szCs w:val="32"/>
        </w:rPr>
        <w:t>万元、绩效工资75.42万元、机关事业单位基本养老保险缴费</w:t>
      </w:r>
      <w:r>
        <w:rPr>
          <w:rFonts w:hint="eastAsia" w:ascii="仿宋_GB2312" w:hAnsi="仿宋_GB2312" w:eastAsia="仿宋_GB2312" w:cs="仿宋_GB2312"/>
          <w:bCs/>
          <w:kern w:val="0"/>
          <w:sz w:val="32"/>
          <w:szCs w:val="32"/>
        </w:rPr>
        <w:t>20.93</w:t>
      </w:r>
      <w:r>
        <w:rPr>
          <w:rFonts w:ascii="仿宋_GB2312" w:hAnsi="仿宋_GB2312" w:eastAsia="仿宋_GB2312" w:cs="仿宋_GB2312"/>
          <w:bCs/>
          <w:kern w:val="0"/>
          <w:sz w:val="32"/>
          <w:szCs w:val="32"/>
        </w:rPr>
        <w:t>万元、职业年金缴费</w:t>
      </w:r>
      <w:r>
        <w:rPr>
          <w:rFonts w:hint="eastAsia" w:ascii="仿宋_GB2312" w:hAnsi="仿宋_GB2312" w:eastAsia="仿宋_GB2312" w:cs="仿宋_GB2312"/>
          <w:bCs/>
          <w:kern w:val="0"/>
          <w:sz w:val="32"/>
          <w:szCs w:val="32"/>
        </w:rPr>
        <w:t>8.49</w:t>
      </w:r>
      <w:r>
        <w:rPr>
          <w:rFonts w:ascii="仿宋_GB2312" w:hAnsi="仿宋_GB2312" w:eastAsia="仿宋_GB2312" w:cs="仿宋_GB2312"/>
          <w:bCs/>
          <w:kern w:val="0"/>
          <w:sz w:val="32"/>
          <w:szCs w:val="32"/>
        </w:rPr>
        <w:t>万元、职工基本医疗保险缴费</w:t>
      </w:r>
      <w:r>
        <w:rPr>
          <w:rFonts w:hint="eastAsia" w:ascii="仿宋_GB2312" w:hAnsi="仿宋_GB2312" w:eastAsia="仿宋_GB2312" w:cs="仿宋_GB2312"/>
          <w:bCs/>
          <w:kern w:val="0"/>
          <w:sz w:val="32"/>
          <w:szCs w:val="32"/>
        </w:rPr>
        <w:t>9.89</w:t>
      </w:r>
      <w:r>
        <w:rPr>
          <w:rFonts w:ascii="仿宋_GB2312" w:hAnsi="仿宋_GB2312" w:eastAsia="仿宋_GB2312" w:cs="仿宋_GB2312"/>
          <w:bCs/>
          <w:kern w:val="0"/>
          <w:sz w:val="32"/>
          <w:szCs w:val="32"/>
        </w:rPr>
        <w:t>万元、其他社会保障缴费</w:t>
      </w:r>
      <w:r>
        <w:rPr>
          <w:rFonts w:hint="eastAsia" w:ascii="仿宋_GB2312" w:hAnsi="仿宋_GB2312" w:eastAsia="仿宋_GB2312" w:cs="仿宋_GB2312"/>
          <w:bCs/>
          <w:kern w:val="0"/>
          <w:sz w:val="32"/>
          <w:szCs w:val="32"/>
        </w:rPr>
        <w:t>2.01</w:t>
      </w:r>
      <w:r>
        <w:rPr>
          <w:rFonts w:ascii="仿宋_GB2312" w:hAnsi="仿宋_GB2312" w:eastAsia="仿宋_GB2312" w:cs="仿宋_GB2312"/>
          <w:bCs/>
          <w:kern w:val="0"/>
          <w:sz w:val="32"/>
          <w:szCs w:val="32"/>
        </w:rPr>
        <w:t>万元、住房公积金</w:t>
      </w:r>
      <w:r>
        <w:rPr>
          <w:rFonts w:hint="eastAsia" w:ascii="仿宋_GB2312" w:hAnsi="仿宋_GB2312" w:eastAsia="仿宋_GB2312" w:cs="仿宋_GB2312"/>
          <w:bCs/>
          <w:kern w:val="0"/>
          <w:sz w:val="32"/>
          <w:szCs w:val="32"/>
        </w:rPr>
        <w:t>15.69</w:t>
      </w:r>
      <w:r>
        <w:rPr>
          <w:rFonts w:ascii="仿宋_GB2312" w:hAnsi="仿宋_GB2312" w:eastAsia="仿宋_GB2312" w:cs="仿宋_GB2312"/>
          <w:bCs/>
          <w:kern w:val="0"/>
          <w:sz w:val="32"/>
          <w:szCs w:val="32"/>
        </w:rPr>
        <w:t>万元；</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公用经费</w:t>
      </w:r>
      <w:r>
        <w:rPr>
          <w:rFonts w:hint="eastAsia" w:ascii="仿宋_GB2312" w:hAnsi="仿宋_GB2312" w:eastAsia="仿宋_GB2312" w:cs="仿宋_GB2312"/>
          <w:bCs/>
          <w:kern w:val="0"/>
          <w:sz w:val="32"/>
          <w:szCs w:val="32"/>
        </w:rPr>
        <w:t>17.04</w:t>
      </w:r>
      <w:r>
        <w:rPr>
          <w:rFonts w:ascii="仿宋_GB2312" w:hAnsi="仿宋_GB2312" w:eastAsia="仿宋_GB2312" w:cs="仿宋_GB2312"/>
          <w:bCs/>
          <w:kern w:val="0"/>
          <w:sz w:val="32"/>
          <w:szCs w:val="32"/>
        </w:rPr>
        <w:t>万元，主要包括：办公费</w:t>
      </w:r>
      <w:r>
        <w:rPr>
          <w:rFonts w:hint="eastAsia" w:ascii="仿宋_GB2312" w:hAnsi="仿宋_GB2312" w:eastAsia="仿宋_GB2312" w:cs="仿宋_GB2312"/>
          <w:bCs/>
          <w:kern w:val="0"/>
          <w:sz w:val="32"/>
          <w:szCs w:val="32"/>
        </w:rPr>
        <w:t>0.76</w:t>
      </w:r>
      <w:r>
        <w:rPr>
          <w:rFonts w:ascii="仿宋_GB2312" w:hAnsi="仿宋_GB2312" w:eastAsia="仿宋_GB2312" w:cs="仿宋_GB2312"/>
          <w:bCs/>
          <w:kern w:val="0"/>
          <w:sz w:val="32"/>
          <w:szCs w:val="32"/>
        </w:rPr>
        <w:t>万元、印刷费</w:t>
      </w:r>
      <w:r>
        <w:rPr>
          <w:rFonts w:hint="eastAsia" w:ascii="仿宋_GB2312" w:hAnsi="仿宋_GB2312" w:eastAsia="仿宋_GB2312" w:cs="仿宋_GB2312"/>
          <w:bCs/>
          <w:kern w:val="0"/>
          <w:sz w:val="32"/>
          <w:szCs w:val="32"/>
        </w:rPr>
        <w:t>0.33</w:t>
      </w:r>
      <w:r>
        <w:rPr>
          <w:rFonts w:ascii="仿宋_GB2312" w:hAnsi="仿宋_GB2312" w:eastAsia="仿宋_GB2312" w:cs="仿宋_GB2312"/>
          <w:bCs/>
          <w:kern w:val="0"/>
          <w:sz w:val="32"/>
          <w:szCs w:val="32"/>
        </w:rPr>
        <w:t>万元、水费</w:t>
      </w:r>
      <w:r>
        <w:rPr>
          <w:rFonts w:hint="eastAsia" w:ascii="仿宋_GB2312" w:hAnsi="仿宋_GB2312" w:eastAsia="仿宋_GB2312" w:cs="仿宋_GB2312"/>
          <w:bCs/>
          <w:kern w:val="0"/>
          <w:sz w:val="32"/>
          <w:szCs w:val="32"/>
        </w:rPr>
        <w:t>0.28</w:t>
      </w:r>
      <w:r>
        <w:rPr>
          <w:rFonts w:ascii="仿宋_GB2312" w:hAnsi="仿宋_GB2312" w:eastAsia="仿宋_GB2312" w:cs="仿宋_GB2312"/>
          <w:bCs/>
          <w:kern w:val="0"/>
          <w:sz w:val="32"/>
          <w:szCs w:val="32"/>
        </w:rPr>
        <w:t>万元、电费</w:t>
      </w:r>
      <w:r>
        <w:rPr>
          <w:rFonts w:hint="eastAsia" w:ascii="仿宋_GB2312" w:hAnsi="仿宋_GB2312" w:eastAsia="仿宋_GB2312" w:cs="仿宋_GB2312"/>
          <w:bCs/>
          <w:kern w:val="0"/>
          <w:sz w:val="32"/>
          <w:szCs w:val="32"/>
        </w:rPr>
        <w:t>0.88</w:t>
      </w:r>
      <w:r>
        <w:rPr>
          <w:rFonts w:ascii="仿宋_GB2312" w:hAnsi="仿宋_GB2312" w:eastAsia="仿宋_GB2312" w:cs="仿宋_GB2312"/>
          <w:bCs/>
          <w:kern w:val="0"/>
          <w:sz w:val="32"/>
          <w:szCs w:val="32"/>
        </w:rPr>
        <w:t>万元、邮电费</w:t>
      </w:r>
      <w:r>
        <w:rPr>
          <w:rFonts w:hint="eastAsia" w:ascii="仿宋_GB2312" w:hAnsi="仿宋_GB2312" w:eastAsia="仿宋_GB2312" w:cs="仿宋_GB2312"/>
          <w:bCs/>
          <w:kern w:val="0"/>
          <w:sz w:val="32"/>
          <w:szCs w:val="32"/>
        </w:rPr>
        <w:t>0.72</w:t>
      </w:r>
      <w:r>
        <w:rPr>
          <w:rFonts w:ascii="仿宋_GB2312" w:hAnsi="仿宋_GB2312" w:eastAsia="仿宋_GB2312" w:cs="仿宋_GB2312"/>
          <w:bCs/>
          <w:kern w:val="0"/>
          <w:sz w:val="32"/>
          <w:szCs w:val="32"/>
        </w:rPr>
        <w:t>万元、物业管理费</w:t>
      </w:r>
      <w:r>
        <w:rPr>
          <w:rFonts w:hint="eastAsia" w:ascii="仿宋_GB2312" w:hAnsi="仿宋_GB2312" w:eastAsia="仿宋_GB2312" w:cs="仿宋_GB2312"/>
          <w:bCs/>
          <w:kern w:val="0"/>
          <w:sz w:val="32"/>
          <w:szCs w:val="32"/>
        </w:rPr>
        <w:t>0.22</w:t>
      </w:r>
      <w:r>
        <w:rPr>
          <w:rFonts w:ascii="仿宋_GB2312" w:hAnsi="仿宋_GB2312" w:eastAsia="仿宋_GB2312" w:cs="仿宋_GB2312"/>
          <w:bCs/>
          <w:kern w:val="0"/>
          <w:sz w:val="32"/>
          <w:szCs w:val="32"/>
        </w:rPr>
        <w:t>万元、差旅费</w:t>
      </w:r>
      <w:r>
        <w:rPr>
          <w:rFonts w:hint="eastAsia" w:ascii="仿宋_GB2312" w:hAnsi="仿宋_GB2312" w:eastAsia="仿宋_GB2312" w:cs="仿宋_GB2312"/>
          <w:bCs/>
          <w:kern w:val="0"/>
          <w:sz w:val="32"/>
          <w:szCs w:val="32"/>
        </w:rPr>
        <w:t>3.63</w:t>
      </w:r>
      <w:r>
        <w:rPr>
          <w:rFonts w:ascii="仿宋_GB2312" w:hAnsi="仿宋_GB2312" w:eastAsia="仿宋_GB2312" w:cs="仿宋_GB2312"/>
          <w:bCs/>
          <w:kern w:val="0"/>
          <w:sz w:val="32"/>
          <w:szCs w:val="32"/>
        </w:rPr>
        <w:t>万元、维修（护）费</w:t>
      </w:r>
      <w:r>
        <w:rPr>
          <w:rFonts w:hint="eastAsia" w:ascii="仿宋_GB2312" w:hAnsi="仿宋_GB2312" w:eastAsia="仿宋_GB2312" w:cs="仿宋_GB2312"/>
          <w:bCs/>
          <w:kern w:val="0"/>
          <w:sz w:val="32"/>
          <w:szCs w:val="32"/>
        </w:rPr>
        <w:t>0.44</w:t>
      </w:r>
      <w:r>
        <w:rPr>
          <w:rFonts w:ascii="仿宋_GB2312" w:hAnsi="仿宋_GB2312" w:eastAsia="仿宋_GB2312" w:cs="仿宋_GB2312"/>
          <w:bCs/>
          <w:kern w:val="0"/>
          <w:sz w:val="32"/>
          <w:szCs w:val="32"/>
        </w:rPr>
        <w:t>万元、会议费</w:t>
      </w:r>
      <w:r>
        <w:rPr>
          <w:rFonts w:hint="eastAsia" w:ascii="仿宋_GB2312" w:hAnsi="仿宋_GB2312" w:eastAsia="仿宋_GB2312" w:cs="仿宋_GB2312"/>
          <w:bCs/>
          <w:kern w:val="0"/>
          <w:sz w:val="32"/>
          <w:szCs w:val="32"/>
        </w:rPr>
        <w:t>0.44</w:t>
      </w:r>
      <w:r>
        <w:rPr>
          <w:rFonts w:ascii="仿宋_GB2312" w:hAnsi="仿宋_GB2312" w:eastAsia="仿宋_GB2312" w:cs="仿宋_GB2312"/>
          <w:bCs/>
          <w:kern w:val="0"/>
          <w:sz w:val="32"/>
          <w:szCs w:val="32"/>
        </w:rPr>
        <w:t>万元、培训费</w:t>
      </w:r>
      <w:r>
        <w:rPr>
          <w:rFonts w:hint="eastAsia" w:ascii="仿宋_GB2312" w:hAnsi="仿宋_GB2312" w:eastAsia="仿宋_GB2312" w:cs="仿宋_GB2312"/>
          <w:bCs/>
          <w:kern w:val="0"/>
          <w:sz w:val="32"/>
          <w:szCs w:val="32"/>
        </w:rPr>
        <w:t>0.66</w:t>
      </w:r>
      <w:r>
        <w:rPr>
          <w:rFonts w:ascii="仿宋_GB2312" w:hAnsi="仿宋_GB2312" w:eastAsia="仿宋_GB2312" w:cs="仿宋_GB2312"/>
          <w:bCs/>
          <w:kern w:val="0"/>
          <w:sz w:val="32"/>
          <w:szCs w:val="32"/>
        </w:rPr>
        <w:t>万元、公务接待费</w:t>
      </w:r>
      <w:r>
        <w:rPr>
          <w:rFonts w:hint="eastAsia" w:ascii="仿宋_GB2312" w:hAnsi="仿宋_GB2312" w:eastAsia="仿宋_GB2312" w:cs="仿宋_GB2312"/>
          <w:bCs/>
          <w:kern w:val="0"/>
          <w:sz w:val="32"/>
          <w:szCs w:val="32"/>
        </w:rPr>
        <w:t>0.07</w:t>
      </w:r>
      <w:r>
        <w:rPr>
          <w:rFonts w:ascii="仿宋_GB2312" w:hAnsi="仿宋_GB2312" w:eastAsia="仿宋_GB2312" w:cs="仿宋_GB2312"/>
          <w:bCs/>
          <w:kern w:val="0"/>
          <w:sz w:val="32"/>
          <w:szCs w:val="32"/>
        </w:rPr>
        <w:t>万元、委托业务费5.92万元、工会经费</w:t>
      </w:r>
      <w:r>
        <w:rPr>
          <w:rFonts w:hint="eastAsia" w:ascii="仿宋_GB2312" w:hAnsi="仿宋_GB2312" w:eastAsia="仿宋_GB2312" w:cs="仿宋_GB2312"/>
          <w:bCs/>
          <w:kern w:val="0"/>
          <w:sz w:val="32"/>
          <w:szCs w:val="32"/>
        </w:rPr>
        <w:t>2.08</w:t>
      </w:r>
      <w:r>
        <w:rPr>
          <w:rFonts w:ascii="仿宋_GB2312" w:hAnsi="仿宋_GB2312" w:eastAsia="仿宋_GB2312" w:cs="仿宋_GB2312"/>
          <w:bCs/>
          <w:kern w:val="0"/>
          <w:sz w:val="32"/>
          <w:szCs w:val="32"/>
        </w:rPr>
        <w:t>万元、公务用车运行维护费</w:t>
      </w:r>
      <w:r>
        <w:rPr>
          <w:rFonts w:hint="eastAsia" w:ascii="仿宋_GB2312" w:hAnsi="仿宋_GB2312" w:eastAsia="仿宋_GB2312" w:cs="仿宋_GB2312"/>
          <w:bCs/>
          <w:kern w:val="0"/>
          <w:sz w:val="32"/>
          <w:szCs w:val="32"/>
        </w:rPr>
        <w:t>0.62</w:t>
      </w:r>
      <w:r>
        <w:rPr>
          <w:rFonts w:ascii="仿宋_GB2312" w:hAnsi="仿宋_GB2312" w:eastAsia="仿宋_GB2312" w:cs="仿宋_GB2312"/>
          <w:bCs/>
          <w:kern w:val="0"/>
          <w:sz w:val="32"/>
          <w:szCs w:val="32"/>
        </w:rPr>
        <w:t>万元。</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七、</w:t>
      </w:r>
      <w:r>
        <w:rPr>
          <w:rFonts w:ascii="仿宋_GB2312" w:hAnsi="仿宋_GB2312" w:eastAsia="仿宋_GB2312" w:cs="仿宋_GB2312"/>
          <w:b/>
          <w:kern w:val="0"/>
          <w:sz w:val="32"/>
          <w:szCs w:val="32"/>
        </w:rPr>
        <w:t>2020年度一般公共预算财政拨款“三公” 经费支出决算情况</w:t>
      </w:r>
      <w:r>
        <w:rPr>
          <w:rFonts w:ascii="仿宋_GB2312" w:hAnsi="仿宋_GB2312" w:eastAsia="仿宋_GB2312" w:cs="仿宋_GB2312"/>
          <w:bCs/>
          <w:kern w:val="0"/>
          <w:sz w:val="32"/>
          <w:szCs w:val="32"/>
        </w:rPr>
        <w:t xml:space="preserve"> </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（一）“三公”经费财政拨款支出决算总体情况 </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2020年度“三公”经费财政拨款支出预算为</w:t>
      </w:r>
      <w:r>
        <w:rPr>
          <w:rFonts w:hint="eastAsia" w:ascii="仿宋_GB2312" w:hAnsi="仿宋_GB2312" w:eastAsia="仿宋_GB2312" w:cs="仿宋_GB2312"/>
          <w:bCs/>
          <w:kern w:val="0"/>
          <w:sz w:val="32"/>
          <w:szCs w:val="32"/>
        </w:rPr>
        <w:t>4.39</w:t>
      </w:r>
      <w:r>
        <w:rPr>
          <w:rFonts w:ascii="仿宋_GB2312" w:hAnsi="仿宋_GB2312" w:eastAsia="仿宋_GB2312" w:cs="仿宋_GB2312"/>
          <w:bCs/>
          <w:kern w:val="0"/>
          <w:sz w:val="32"/>
          <w:szCs w:val="32"/>
        </w:rPr>
        <w:t>万元，支出决算为</w:t>
      </w:r>
      <w:r>
        <w:rPr>
          <w:rFonts w:hint="eastAsia" w:ascii="仿宋_GB2312" w:hAnsi="仿宋_GB2312" w:eastAsia="仿宋_GB2312" w:cs="仿宋_GB2312"/>
          <w:bCs/>
          <w:kern w:val="0"/>
          <w:sz w:val="32"/>
          <w:szCs w:val="32"/>
        </w:rPr>
        <w:t>0.69</w:t>
      </w:r>
      <w:r>
        <w:rPr>
          <w:rFonts w:ascii="仿宋_GB2312" w:hAnsi="仿宋_GB2312" w:eastAsia="仿宋_GB2312" w:cs="仿宋_GB2312"/>
          <w:bCs/>
          <w:kern w:val="0"/>
          <w:sz w:val="32"/>
          <w:szCs w:val="32"/>
        </w:rPr>
        <w:t>万元，完成预算的</w:t>
      </w:r>
      <w:r>
        <w:rPr>
          <w:rFonts w:hint="eastAsia" w:ascii="仿宋_GB2312" w:hAnsi="仿宋_GB2312" w:eastAsia="仿宋_GB2312" w:cs="仿宋_GB2312"/>
          <w:bCs/>
          <w:kern w:val="0"/>
          <w:sz w:val="32"/>
          <w:szCs w:val="32"/>
        </w:rPr>
        <w:t>15.72</w:t>
      </w:r>
      <w:r>
        <w:rPr>
          <w:rFonts w:ascii="仿宋_GB2312" w:hAnsi="仿宋_GB2312" w:eastAsia="仿宋_GB2312" w:cs="仿宋_GB2312"/>
          <w:bCs/>
          <w:kern w:val="0"/>
          <w:sz w:val="32"/>
          <w:szCs w:val="32"/>
        </w:rPr>
        <w:t>%，其中：因公出国（境）费支出决算为0万元，完成预算的0%；公务用车购置及运行费支出决算为</w:t>
      </w:r>
      <w:r>
        <w:rPr>
          <w:rFonts w:hint="eastAsia" w:ascii="仿宋_GB2312" w:hAnsi="仿宋_GB2312" w:eastAsia="仿宋_GB2312" w:cs="仿宋_GB2312"/>
          <w:bCs/>
          <w:kern w:val="0"/>
          <w:sz w:val="32"/>
          <w:szCs w:val="32"/>
        </w:rPr>
        <w:t>0.62</w:t>
      </w:r>
      <w:r>
        <w:rPr>
          <w:rFonts w:ascii="仿宋_GB2312" w:hAnsi="仿宋_GB2312" w:eastAsia="仿宋_GB2312" w:cs="仿宋_GB2312"/>
          <w:bCs/>
          <w:kern w:val="0"/>
          <w:sz w:val="32"/>
          <w:szCs w:val="32"/>
        </w:rPr>
        <w:t>万元，完成预算的</w:t>
      </w:r>
      <w:r>
        <w:rPr>
          <w:rFonts w:hint="eastAsia" w:ascii="仿宋_GB2312" w:hAnsi="仿宋_GB2312" w:eastAsia="仿宋_GB2312" w:cs="仿宋_GB2312"/>
          <w:bCs/>
          <w:kern w:val="0"/>
          <w:sz w:val="32"/>
          <w:szCs w:val="32"/>
        </w:rPr>
        <w:t>15.50</w:t>
      </w:r>
      <w:r>
        <w:rPr>
          <w:rFonts w:ascii="仿宋_GB2312" w:hAnsi="仿宋_GB2312" w:eastAsia="仿宋_GB2312" w:cs="仿宋_GB2312"/>
          <w:bCs/>
          <w:kern w:val="0"/>
          <w:sz w:val="32"/>
          <w:szCs w:val="32"/>
        </w:rPr>
        <w:t>%；公务接待费支出决算为</w:t>
      </w:r>
      <w:r>
        <w:rPr>
          <w:rFonts w:hint="eastAsia" w:ascii="仿宋_GB2312" w:hAnsi="仿宋_GB2312" w:eastAsia="仿宋_GB2312" w:cs="仿宋_GB2312"/>
          <w:bCs/>
          <w:kern w:val="0"/>
          <w:sz w:val="32"/>
          <w:szCs w:val="32"/>
        </w:rPr>
        <w:t>0.07</w:t>
      </w:r>
      <w:r>
        <w:rPr>
          <w:rFonts w:ascii="仿宋_GB2312" w:hAnsi="仿宋_GB2312" w:eastAsia="仿宋_GB2312" w:cs="仿宋_GB2312"/>
          <w:bCs/>
          <w:kern w:val="0"/>
          <w:sz w:val="32"/>
          <w:szCs w:val="32"/>
        </w:rPr>
        <w:t>万元，完成预算的</w:t>
      </w:r>
      <w:r>
        <w:rPr>
          <w:rFonts w:hint="eastAsia" w:ascii="仿宋_GB2312" w:hAnsi="仿宋_GB2312" w:eastAsia="仿宋_GB2312" w:cs="仿宋_GB2312"/>
          <w:bCs/>
          <w:kern w:val="0"/>
          <w:sz w:val="32"/>
          <w:szCs w:val="32"/>
        </w:rPr>
        <w:t>17.95</w:t>
      </w:r>
      <w:r>
        <w:rPr>
          <w:rFonts w:ascii="仿宋_GB2312" w:hAnsi="仿宋_GB2312" w:eastAsia="仿宋_GB2312" w:cs="仿宋_GB2312"/>
          <w:bCs/>
          <w:kern w:val="0"/>
          <w:sz w:val="32"/>
          <w:szCs w:val="32"/>
        </w:rPr>
        <w:t>%。2020年度“三公”经费支出决算数小于预算数的主要原因是认真</w:t>
      </w:r>
      <w:r>
        <w:rPr>
          <w:rFonts w:hint="eastAsia" w:ascii="仿宋_GB2312" w:hAnsi="仿宋_GB2312" w:eastAsia="仿宋_GB2312" w:cs="仿宋_GB2312"/>
          <w:bCs/>
          <w:kern w:val="0"/>
          <w:sz w:val="32"/>
          <w:szCs w:val="32"/>
          <w:lang w:eastAsia="zh-CN"/>
        </w:rPr>
        <w:t>贯彻落实中央八项规定</w:t>
      </w:r>
      <w:r>
        <w:rPr>
          <w:rFonts w:ascii="仿宋_GB2312" w:hAnsi="仿宋_GB2312" w:eastAsia="仿宋_GB2312" w:cs="仿宋_GB2312"/>
          <w:bCs/>
          <w:kern w:val="0"/>
          <w:sz w:val="32"/>
          <w:szCs w:val="32"/>
        </w:rPr>
        <w:t>精神和厉行节约要求，进一步从严控制“三公”经费开支，全年实际支出比预算有所节约，原因：公务用车运行维护费有所节约。</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2020年度“三公”经费财政拨款支出决算数比2019年</w:t>
      </w:r>
      <w:r>
        <w:rPr>
          <w:rFonts w:hint="eastAsia" w:ascii="仿宋_GB2312" w:hAnsi="仿宋_GB2312" w:eastAsia="仿宋_GB2312" w:cs="仿宋_GB2312"/>
          <w:bCs/>
          <w:kern w:val="0"/>
          <w:sz w:val="32"/>
          <w:szCs w:val="32"/>
        </w:rPr>
        <w:t>增加0.36</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增加109.09</w:t>
      </w:r>
      <w:r>
        <w:rPr>
          <w:rFonts w:ascii="仿宋_GB2312" w:hAnsi="仿宋_GB2312" w:eastAsia="仿宋_GB2312" w:cs="仿宋_GB2312"/>
          <w:bCs/>
          <w:kern w:val="0"/>
          <w:sz w:val="32"/>
          <w:szCs w:val="32"/>
        </w:rPr>
        <w:t>%，其中：因公出国（境）费支出决 算减少0万元，增加0%；公务用车购置及运行费支出 决算</w:t>
      </w:r>
      <w:r>
        <w:rPr>
          <w:rFonts w:hint="eastAsia" w:ascii="仿宋_GB2312" w:hAnsi="仿宋_GB2312" w:eastAsia="仿宋_GB2312" w:cs="仿宋_GB2312"/>
          <w:bCs/>
          <w:kern w:val="0"/>
          <w:sz w:val="32"/>
          <w:szCs w:val="32"/>
        </w:rPr>
        <w:t>增加0.62</w:t>
      </w:r>
      <w:r>
        <w:rPr>
          <w:rFonts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rPr>
        <w:t>增加0</w:t>
      </w:r>
      <w:r>
        <w:rPr>
          <w:rFonts w:ascii="仿宋_GB2312" w:hAnsi="仿宋_GB2312" w:eastAsia="仿宋_GB2312" w:cs="仿宋_GB2312"/>
          <w:bCs/>
          <w:kern w:val="0"/>
          <w:sz w:val="32"/>
          <w:szCs w:val="32"/>
        </w:rPr>
        <w:t>%；公务接待费支出决算</w:t>
      </w:r>
      <w:r>
        <w:rPr>
          <w:rFonts w:hint="eastAsia" w:ascii="仿宋_GB2312" w:hAnsi="仿宋_GB2312" w:eastAsia="仿宋_GB2312" w:cs="仿宋_GB2312"/>
          <w:bCs/>
          <w:kern w:val="0"/>
          <w:sz w:val="32"/>
          <w:szCs w:val="32"/>
        </w:rPr>
        <w:t>减少0.26</w:t>
      </w:r>
      <w:r>
        <w:rPr>
          <w:rFonts w:ascii="仿宋_GB2312" w:hAnsi="仿宋_GB2312" w:eastAsia="仿宋_GB2312" w:cs="仿宋_GB2312"/>
          <w:bCs/>
          <w:kern w:val="0"/>
          <w:sz w:val="32"/>
          <w:szCs w:val="32"/>
        </w:rPr>
        <w:t>万元，减少</w:t>
      </w:r>
      <w:r>
        <w:rPr>
          <w:rFonts w:hint="eastAsia" w:ascii="仿宋_GB2312" w:hAnsi="仿宋_GB2312" w:eastAsia="仿宋_GB2312" w:cs="仿宋_GB2312"/>
          <w:bCs/>
          <w:kern w:val="0"/>
          <w:sz w:val="32"/>
          <w:szCs w:val="32"/>
        </w:rPr>
        <w:t>78.79</w:t>
      </w:r>
      <w:r>
        <w:rPr>
          <w:rFonts w:ascii="仿宋_GB2312" w:hAnsi="仿宋_GB2312" w:eastAsia="仿宋_GB2312" w:cs="仿宋_GB2312"/>
          <w:bCs/>
          <w:kern w:val="0"/>
          <w:sz w:val="32"/>
          <w:szCs w:val="32"/>
        </w:rPr>
        <w:t xml:space="preserve">%。 </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公务用车购置及运行费支出</w:t>
      </w:r>
      <w:r>
        <w:rPr>
          <w:rFonts w:hint="eastAsia" w:ascii="仿宋_GB2312" w:hAnsi="仿宋_GB2312" w:eastAsia="仿宋_GB2312" w:cs="仿宋_GB2312"/>
          <w:bCs/>
          <w:kern w:val="0"/>
          <w:sz w:val="32"/>
          <w:szCs w:val="32"/>
        </w:rPr>
        <w:t>增加</w:t>
      </w:r>
      <w:r>
        <w:rPr>
          <w:rFonts w:ascii="仿宋_GB2312" w:hAnsi="仿宋_GB2312" w:eastAsia="仿宋_GB2312" w:cs="仿宋_GB2312"/>
          <w:bCs/>
          <w:kern w:val="0"/>
          <w:sz w:val="32"/>
          <w:szCs w:val="32"/>
        </w:rPr>
        <w:t>的主要原因是</w:t>
      </w:r>
      <w:r>
        <w:rPr>
          <w:rFonts w:hint="eastAsia" w:ascii="仿宋_GB2312" w:hAnsi="仿宋_GB2312" w:eastAsia="仿宋_GB2312" w:cs="仿宋_GB2312"/>
          <w:bCs/>
          <w:kern w:val="0"/>
          <w:sz w:val="32"/>
          <w:szCs w:val="32"/>
        </w:rPr>
        <w:t>车辆的维修费增加</w:t>
      </w:r>
      <w:r>
        <w:rPr>
          <w:rFonts w:ascii="仿宋_GB2312" w:hAnsi="仿宋_GB2312" w:eastAsia="仿宋_GB2312" w:cs="仿宋_GB2312"/>
          <w:bCs/>
          <w:kern w:val="0"/>
          <w:sz w:val="32"/>
          <w:szCs w:val="32"/>
        </w:rPr>
        <w:t>。</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（二）“三公”经费财政拨款支出决算具体情况</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2020年度“三公”经费财政拨款支出决算中，因公出国（境）费支出决算0万元，占0%；公务用车购置及运行费 支出决算</w:t>
      </w:r>
      <w:r>
        <w:rPr>
          <w:rFonts w:hint="eastAsia" w:ascii="仿宋_GB2312" w:hAnsi="仿宋_GB2312" w:eastAsia="仿宋_GB2312" w:cs="仿宋_GB2312"/>
          <w:bCs/>
          <w:kern w:val="0"/>
          <w:sz w:val="32"/>
          <w:szCs w:val="32"/>
        </w:rPr>
        <w:t>0.62</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89.86</w:t>
      </w:r>
      <w:r>
        <w:rPr>
          <w:rFonts w:ascii="仿宋_GB2312" w:hAnsi="仿宋_GB2312" w:eastAsia="仿宋_GB2312" w:cs="仿宋_GB2312"/>
          <w:bCs/>
          <w:kern w:val="0"/>
          <w:sz w:val="32"/>
          <w:szCs w:val="32"/>
        </w:rPr>
        <w:t>%；公务接待费支出决算</w:t>
      </w:r>
      <w:r>
        <w:rPr>
          <w:rFonts w:hint="eastAsia" w:ascii="仿宋_GB2312" w:hAnsi="仿宋_GB2312" w:eastAsia="仿宋_GB2312" w:cs="仿宋_GB2312"/>
          <w:bCs/>
          <w:kern w:val="0"/>
          <w:sz w:val="32"/>
          <w:szCs w:val="32"/>
        </w:rPr>
        <w:t>0.07</w:t>
      </w:r>
      <w:r>
        <w:rPr>
          <w:rFonts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rPr>
        <w:t>10.14</w:t>
      </w:r>
      <w:r>
        <w:rPr>
          <w:rFonts w:ascii="仿宋_GB2312" w:hAnsi="仿宋_GB2312" w:eastAsia="仿宋_GB2312" w:cs="仿宋_GB2312"/>
          <w:bCs/>
          <w:kern w:val="0"/>
          <w:sz w:val="32"/>
          <w:szCs w:val="32"/>
        </w:rPr>
        <w:t xml:space="preserve"> %。具体情况如下：  </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1.因公出国（境）费支出0万元。全年安排机关和所属单位因公出国 （境）团组0个，累计0人次（必须说明）。</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2.公务用车购置及运行费支出</w:t>
      </w:r>
      <w:r>
        <w:rPr>
          <w:rFonts w:hint="eastAsia" w:ascii="仿宋_GB2312" w:hAnsi="仿宋_GB2312" w:eastAsia="仿宋_GB2312" w:cs="仿宋_GB2312"/>
          <w:bCs/>
          <w:kern w:val="0"/>
          <w:sz w:val="32"/>
          <w:szCs w:val="32"/>
        </w:rPr>
        <w:t>0.62</w:t>
      </w:r>
      <w:r>
        <w:rPr>
          <w:rFonts w:ascii="仿宋_GB2312" w:hAnsi="仿宋_GB2312" w:eastAsia="仿宋_GB2312" w:cs="仿宋_GB2312"/>
          <w:bCs/>
          <w:kern w:val="0"/>
          <w:sz w:val="32"/>
          <w:szCs w:val="32"/>
        </w:rPr>
        <w:t>万元。其中：公务用车运行支出</w:t>
      </w:r>
      <w:r>
        <w:rPr>
          <w:rFonts w:hint="eastAsia" w:ascii="仿宋_GB2312" w:hAnsi="仿宋_GB2312" w:eastAsia="仿宋_GB2312" w:cs="仿宋_GB2312"/>
          <w:bCs/>
          <w:kern w:val="0"/>
          <w:sz w:val="32"/>
          <w:szCs w:val="32"/>
        </w:rPr>
        <w:t>0.62</w:t>
      </w:r>
      <w:r>
        <w:rPr>
          <w:rFonts w:ascii="仿宋_GB2312" w:hAnsi="仿宋_GB2312" w:eastAsia="仿宋_GB2312" w:cs="仿宋_GB2312"/>
          <w:bCs/>
          <w:kern w:val="0"/>
          <w:sz w:val="32"/>
          <w:szCs w:val="32"/>
        </w:rPr>
        <w:t>万元。主要用于车辆燃料费、维修费、保险费等。2020年，单位开支财政拨款的公务用车保有量为2辆。</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3.公务接待费支出</w:t>
      </w:r>
      <w:r>
        <w:rPr>
          <w:rFonts w:hint="eastAsia" w:ascii="仿宋_GB2312" w:hAnsi="仿宋_GB2312" w:eastAsia="仿宋_GB2312" w:cs="仿宋_GB2312"/>
          <w:bCs/>
          <w:kern w:val="0"/>
          <w:sz w:val="32"/>
          <w:szCs w:val="32"/>
        </w:rPr>
        <w:t>0.07</w:t>
      </w:r>
      <w:r>
        <w:rPr>
          <w:rFonts w:ascii="仿宋_GB2312" w:hAnsi="仿宋_GB2312" w:eastAsia="仿宋_GB2312" w:cs="仿宋_GB2312"/>
          <w:bCs/>
          <w:kern w:val="0"/>
          <w:sz w:val="32"/>
          <w:szCs w:val="32"/>
        </w:rPr>
        <w:t>万元。其中：</w:t>
      </w:r>
    </w:p>
    <w:p>
      <w:pPr>
        <w:pStyle w:val="5"/>
        <w:autoSpaceDE w:val="0"/>
        <w:autoSpaceDN w:val="0"/>
        <w:spacing w:line="560" w:lineRule="exact"/>
        <w:ind w:firstLine="64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外宾接待支出0万元。2020年共接待国（境）外来访团组0个、来访外宾0人次。</w:t>
      </w:r>
    </w:p>
    <w:p>
      <w:pPr>
        <w:pStyle w:val="5"/>
        <w:autoSpaceDE w:val="0"/>
        <w:autoSpaceDN w:val="0"/>
        <w:spacing w:line="560" w:lineRule="exact"/>
        <w:ind w:firstLine="640"/>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国内公务接待支出</w:t>
      </w:r>
      <w:r>
        <w:rPr>
          <w:rFonts w:hint="eastAsia" w:ascii="仿宋_GB2312" w:hAnsi="仿宋_GB2312" w:eastAsia="仿宋_GB2312" w:cs="仿宋_GB2312"/>
          <w:bCs/>
          <w:kern w:val="0"/>
          <w:sz w:val="32"/>
          <w:szCs w:val="32"/>
        </w:rPr>
        <w:t>0.07</w:t>
      </w:r>
      <w:r>
        <w:rPr>
          <w:rFonts w:ascii="仿宋_GB2312" w:hAnsi="仿宋_GB2312" w:eastAsia="仿宋_GB2312" w:cs="仿宋_GB2312"/>
          <w:bCs/>
          <w:kern w:val="0"/>
          <w:sz w:val="32"/>
          <w:szCs w:val="32"/>
        </w:rPr>
        <w:t>万元。主要用于单位按规定开支的各类公务接待。2020年共接待国内来访团组</w:t>
      </w:r>
      <w:r>
        <w:rPr>
          <w:rFonts w:hint="eastAsia" w:ascii="仿宋_GB2312" w:hAnsi="仿宋_GB2312" w:eastAsia="仿宋_GB2312" w:cs="仿宋_GB2312"/>
          <w:bCs/>
          <w:kern w:val="0"/>
          <w:sz w:val="32"/>
          <w:szCs w:val="32"/>
        </w:rPr>
        <w:t>6</w:t>
      </w:r>
      <w:r>
        <w:rPr>
          <w:rFonts w:ascii="仿宋_GB2312" w:hAnsi="仿宋_GB2312" w:eastAsia="仿宋_GB2312" w:cs="仿宋_GB2312"/>
          <w:bCs/>
          <w:kern w:val="0"/>
          <w:sz w:val="32"/>
          <w:szCs w:val="32"/>
        </w:rPr>
        <w:t>个、来宾</w:t>
      </w:r>
      <w:r>
        <w:rPr>
          <w:rFonts w:hint="eastAsia" w:ascii="仿宋_GB2312" w:hAnsi="仿宋_GB2312" w:eastAsia="仿宋_GB2312" w:cs="仿宋_GB2312"/>
          <w:bCs/>
          <w:kern w:val="0"/>
          <w:sz w:val="32"/>
          <w:szCs w:val="32"/>
        </w:rPr>
        <w:t>35</w:t>
      </w:r>
      <w:r>
        <w:rPr>
          <w:rFonts w:ascii="仿宋_GB2312" w:hAnsi="仿宋_GB2312" w:eastAsia="仿宋_GB2312" w:cs="仿宋_GB2312"/>
          <w:bCs/>
          <w:kern w:val="0"/>
          <w:sz w:val="32"/>
          <w:szCs w:val="32"/>
        </w:rPr>
        <w:t>人次。</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八、</w:t>
      </w:r>
      <w:r>
        <w:rPr>
          <w:rFonts w:ascii="仿宋_GB2312" w:hAnsi="仿宋_GB2312" w:eastAsia="仿宋_GB2312" w:cs="仿宋_GB2312"/>
          <w:b/>
          <w:bCs/>
          <w:kern w:val="0"/>
          <w:sz w:val="32"/>
          <w:szCs w:val="32"/>
        </w:rPr>
        <w:t>2020 年度政府性基金预算财政拨款收入支出决算情况说明 （根据实际情况作表述 ）</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本部门 2020年度政府基金预算财政拨款收、支总决算 0万元、0万元。与 2019 年相比，收、支总计各增加0万元，增长0%。其中，支出情况为：</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2020年基金拨款年初预算为 0万元，支出决算0万元，完成年初预算0%，决算大于（小于）预算数主要原因：一是年中追加安排财政拨款支出预算，涉及项目有******；二是部分支出按规定，通过使用以前年度财政拨款结转资金解决。其中：（根据公开表格作表述） </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 xml:space="preserve">   1.城乡社区支出（类）政府住房基金及对应专项债务收入安排支出（款）费用支出（项）。 年初预算为0万元，支出决算为 0 万元，完 成年初预算的0%。决算数大于预算数的主要原因是…….。</w:t>
      </w:r>
    </w:p>
    <w:p>
      <w:pPr>
        <w:pStyle w:val="5"/>
        <w:numPr>
          <w:ilvl w:val="0"/>
          <w:numId w:val="2"/>
        </w:numPr>
        <w:autoSpaceDE w:val="0"/>
        <w:autoSpaceDN w:val="0"/>
        <w:spacing w:line="58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九、国有资本经营预算财政拨款支出情况说明（根据实际情况作表述）</w:t>
      </w:r>
    </w:p>
    <w:p>
      <w:pPr>
        <w:pStyle w:val="5"/>
        <w:autoSpaceDE w:val="0"/>
        <w:autoSpaceDN w:val="0"/>
        <w:spacing w:line="560" w:lineRule="exact"/>
        <w:jc w:val="left"/>
        <w:rPr>
          <w:rFonts w:ascii="仿宋_GB2312" w:hAnsi="仿宋_GB2312" w:eastAsia="仿宋_GB2312" w:cs="仿宋_GB2312"/>
          <w:bCs/>
          <w:kern w:val="0"/>
          <w:sz w:val="32"/>
          <w:szCs w:val="32"/>
        </w:rPr>
      </w:pPr>
      <w:r>
        <w:rPr>
          <w:rFonts w:ascii="仿宋_GB2312" w:hAnsi="仿宋_GB2312" w:eastAsia="仿宋_GB2312" w:cs="仿宋_GB2312"/>
          <w:b/>
          <w:bCs/>
          <w:kern w:val="0"/>
          <w:sz w:val="32"/>
          <w:szCs w:val="32"/>
        </w:rPr>
        <w:t xml:space="preserve">      </w:t>
      </w:r>
      <w:r>
        <w:rPr>
          <w:rFonts w:ascii="仿宋_GB2312" w:hAnsi="仿宋_GB2312" w:eastAsia="仿宋_GB2312" w:cs="仿宋_GB2312"/>
          <w:bCs/>
          <w:kern w:val="0"/>
          <w:sz w:val="32"/>
          <w:szCs w:val="32"/>
        </w:rPr>
        <w:t>2020年度国有资本经营预算财政拨款本年支出0万元，为0支出。</w:t>
      </w:r>
    </w:p>
    <w:p>
      <w:pPr>
        <w:pStyle w:val="5"/>
        <w:autoSpaceDE w:val="0"/>
        <w:autoSpaceDN w:val="0"/>
        <w:spacing w:line="580" w:lineRule="exact"/>
        <w:jc w:val="left"/>
        <w:rPr>
          <w:rFonts w:ascii="仿宋_GB2312" w:hAnsi="仿宋_GB2312" w:eastAsia="仿宋_GB2312" w:cs="仿宋_GB2312"/>
          <w:b/>
          <w:kern w:val="0"/>
          <w:sz w:val="32"/>
          <w:szCs w:val="32"/>
        </w:rPr>
      </w:pPr>
      <w:r>
        <w:rPr>
          <w:rFonts w:ascii="仿宋_GB2312" w:hAnsi="仿宋_GB2312" w:eastAsia="仿宋_GB2312" w:cs="仿宋_GB2312"/>
          <w:b/>
          <w:kern w:val="0"/>
          <w:sz w:val="32"/>
          <w:szCs w:val="32"/>
        </w:rPr>
        <w:t>十、2020 年度预算绩效情况说明</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（一）绩效管理工作开展情况</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根据财政预算管理要求，我部门组织对2020年度一般公共 预算项目支出全面开展绩效自评。其中，一级项目6个，二 级项目14个，共涉及预算资金488.81万元，自评覆盖率达到100%） </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（二）部门决算中项目绩效自评结果。（如有，根据情况公开本部门预算绩效评价结果）</w:t>
      </w:r>
    </w:p>
    <w:p>
      <w:pPr>
        <w:pStyle w:val="5"/>
        <w:autoSpaceDE w:val="0"/>
        <w:autoSpaceDN w:val="0"/>
        <w:spacing w:line="580" w:lineRule="exact"/>
        <w:ind w:firstLine="960" w:firstLineChars="3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2020年度单位预算资金执行数483.60万元，预算资金执行率为98.93%。1、指标完成情况</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（1）、数量指标完成情况</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在各类媒体刊登宣传报道</w:t>
      </w:r>
      <w:r>
        <w:rPr>
          <w:rFonts w:hint="eastAsia" w:ascii="仿宋_GB2312" w:hAnsi="仿宋_GB2312" w:eastAsia="仿宋_GB2312" w:cs="仿宋_GB2312"/>
          <w:bCs/>
          <w:kern w:val="0"/>
          <w:sz w:val="32"/>
          <w:szCs w:val="32"/>
        </w:rPr>
        <w:t>301篇；编发微信1251条；编（转）发微博733条；开展“公众开放日”“科普课堂”宣传活动9次；编印《生态环境状况公报》500册；制作有关生态环境保护宣传册、画等3000份；举行新闻发布会4次；信息系统和环保专网安全检查及维护51次。</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（2）、质量指标完成情况</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生态环境保护宣传教育活动效果达到优等；微信宣传效果达到优等；新闻发布会效果达到优等；信息系统和环保专网安全检查及维护质量达到优等。</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（3）、时效指标完成情况</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按计划完成各项工作任务。</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（4）、成本指标完成情况</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预算控制率控制在100%内。</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（5）、社会效益指标完成情况</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推动生态环境保护公众参与，提高市民绿色环保意识，促进生态环保共治共享局面形成</w:t>
      </w:r>
      <w:r>
        <w:rPr>
          <w:rFonts w:hint="eastAsia" w:ascii="仿宋_GB2312" w:hAnsi="仿宋_GB2312" w:eastAsia="仿宋_GB2312" w:cs="仿宋_GB2312"/>
          <w:bCs/>
          <w:kern w:val="0"/>
          <w:sz w:val="32"/>
          <w:szCs w:val="32"/>
        </w:rPr>
        <w:t>达到优等。</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（6）、可持续影响指标完成情况</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加强生态环境保护宣传教育，引导公众更积极地参与到我市生态环保事业中。</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（7）、服务对象满意度指标完成情况</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公众对各类生态环境保护宣传活动的满意率</w:t>
      </w:r>
      <w:r>
        <w:rPr>
          <w:rFonts w:hint="eastAsia" w:ascii="仿宋_GB2312" w:hAnsi="仿宋_GB2312" w:eastAsia="仿宋_GB2312" w:cs="仿宋_GB2312"/>
          <w:bCs/>
          <w:kern w:val="0"/>
          <w:sz w:val="32"/>
          <w:szCs w:val="32"/>
        </w:rPr>
        <w:t>超90%。</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w:t>
      </w:r>
      <w:r>
        <w:rPr>
          <w:rFonts w:ascii="仿宋_GB2312" w:hAnsi="仿宋_GB2312" w:eastAsia="仿宋_GB2312" w:cs="仿宋_GB2312"/>
          <w:bCs/>
          <w:kern w:val="0"/>
          <w:sz w:val="32"/>
          <w:szCs w:val="32"/>
        </w:rPr>
        <w:t>绩效目标实现情况分析</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从整体情况来看，信息中心严格按照年初预算进行部门整体支出。在支出过程中，能严格遵守各项规章制度，“三公经费”有所下降。所有项目都详细制定了方案，严格按方案组织实施，并加强了内部控制和监督。尤其是在专项经费支出上，我们能专款专用，按项目实施计划的进度情况进行资金拨付，无截留、无挪用等现象。</w:t>
      </w:r>
    </w:p>
    <w:p>
      <w:pPr>
        <w:pStyle w:val="5"/>
        <w:autoSpaceDE w:val="0"/>
        <w:autoSpaceDN w:val="0"/>
        <w:spacing w:line="58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w:t>
      </w:r>
      <w:r>
        <w:rPr>
          <w:rFonts w:ascii="仿宋_GB2312" w:hAnsi="仿宋_GB2312" w:eastAsia="仿宋_GB2312" w:cs="仿宋_GB2312"/>
          <w:bCs/>
          <w:kern w:val="0"/>
          <w:sz w:val="32"/>
          <w:szCs w:val="32"/>
        </w:rPr>
        <w:t>存在问题</w:t>
      </w:r>
    </w:p>
    <w:p>
      <w:pPr>
        <w:pStyle w:val="5"/>
        <w:autoSpaceDE w:val="0"/>
        <w:autoSpaceDN w:val="0"/>
        <w:spacing w:line="580" w:lineRule="exact"/>
        <w:jc w:val="left"/>
        <w:rPr>
          <w:rFonts w:ascii="仿宋_GB2312" w:hAnsi="仿宋_GB2312" w:eastAsia="仿宋_GB2312" w:cs="仿宋_GB2312"/>
          <w:bCs/>
          <w:kern w:val="0"/>
          <w:sz w:val="32"/>
          <w:szCs w:val="32"/>
        </w:rPr>
      </w:pPr>
      <w:r>
        <w:rPr>
          <w:rFonts w:ascii="仿宋_GB2312" w:hAnsi="仿宋_GB2312" w:eastAsia="仿宋_GB2312" w:cs="仿宋_GB2312"/>
          <w:bCs/>
          <w:kern w:val="0"/>
          <w:sz w:val="32"/>
          <w:szCs w:val="32"/>
        </w:rPr>
        <w:t>回顾一年的工作，有亮点、有进步、有提升，得到了上级的充分肯定。但也存在一些不足，一是资金使用效益有待进一步提高；二是绩效目标设立不够全面、不够细化和量化；三是预算内资金用途有少量调整使用，特别是公用经费的较大部分用于扶贫工作队员的伙食补贴和交通补贴。四是受政府采购政策影响，个别项目不能按计划采购。</w:t>
      </w:r>
    </w:p>
    <w:p>
      <w:pPr>
        <w:pStyle w:val="5"/>
        <w:autoSpaceDE w:val="0"/>
        <w:autoSpaceDN w:val="0"/>
        <w:jc w:val="left"/>
        <w:rPr>
          <w:color w:val="000000"/>
        </w:rPr>
      </w:pPr>
      <w:r>
        <w:rPr>
          <w:rFonts w:ascii="仿宋_GB2312" w:hAnsi="仿宋_GB2312" w:eastAsia="仿宋_GB2312" w:cs="仿宋_GB2312"/>
          <w:b/>
          <w:color w:val="000000"/>
          <w:kern w:val="0"/>
          <w:sz w:val="32"/>
          <w:szCs w:val="32"/>
        </w:rPr>
        <w:t>十一、其他重要事项的情况</w:t>
      </w:r>
    </w:p>
    <w:p>
      <w:pPr>
        <w:pStyle w:val="5"/>
        <w:autoSpaceDE w:val="0"/>
        <w:autoSpaceDN w:val="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（一）机关运行经费支出情况。2020年度</w:t>
      </w:r>
      <w:r>
        <w:rPr>
          <w:rFonts w:hint="eastAsia" w:ascii="仿宋_GB2312" w:hAnsi="仿宋_GB2312" w:eastAsia="仿宋_GB2312" w:cs="仿宋_GB2312"/>
          <w:kern w:val="0"/>
          <w:sz w:val="32"/>
          <w:szCs w:val="32"/>
        </w:rPr>
        <w:t>单位</w:t>
      </w:r>
      <w:r>
        <w:rPr>
          <w:rFonts w:ascii="仿宋_GB2312" w:hAnsi="仿宋_GB2312" w:eastAsia="仿宋_GB2312" w:cs="仿宋_GB2312"/>
          <w:kern w:val="0"/>
          <w:sz w:val="32"/>
          <w:szCs w:val="32"/>
        </w:rPr>
        <w:t>机关运行经费支出</w:t>
      </w:r>
      <w:r>
        <w:rPr>
          <w:rFonts w:hint="eastAsia" w:ascii="仿宋_GB2312" w:hAnsi="仿宋_GB2312" w:eastAsia="仿宋_GB2312" w:cs="仿宋_GB2312"/>
          <w:kern w:val="0"/>
          <w:sz w:val="32"/>
          <w:szCs w:val="32"/>
        </w:rPr>
        <w:t>0</w:t>
      </w:r>
      <w:r>
        <w:rPr>
          <w:rFonts w:ascii="仿宋_GB2312" w:hAnsi="仿宋_GB2312" w:eastAsia="仿宋_GB2312" w:cs="仿宋_GB2312"/>
          <w:kern w:val="0"/>
          <w:sz w:val="32"/>
          <w:szCs w:val="32"/>
        </w:rPr>
        <w:t>万元，比2019年减少</w:t>
      </w:r>
      <w:r>
        <w:rPr>
          <w:rFonts w:hint="eastAsia" w:ascii="仿宋_GB2312" w:hAnsi="仿宋_GB2312" w:eastAsia="仿宋_GB2312" w:cs="仿宋_GB2312"/>
          <w:kern w:val="0"/>
          <w:sz w:val="32"/>
          <w:szCs w:val="32"/>
        </w:rPr>
        <w:t>0</w:t>
      </w:r>
      <w:r>
        <w:rPr>
          <w:rFonts w:ascii="仿宋_GB2312" w:hAnsi="仿宋_GB2312" w:eastAsia="仿宋_GB2312" w:cs="仿宋_GB2312"/>
          <w:kern w:val="0"/>
          <w:sz w:val="32"/>
          <w:szCs w:val="32"/>
        </w:rPr>
        <w:t>万元，减少</w:t>
      </w:r>
      <w:r>
        <w:rPr>
          <w:rFonts w:hint="eastAsia" w:ascii="仿宋_GB2312" w:hAnsi="仿宋_GB2312" w:eastAsia="仿宋_GB2312" w:cs="仿宋_GB2312"/>
          <w:kern w:val="0"/>
          <w:sz w:val="32"/>
          <w:szCs w:val="32"/>
        </w:rPr>
        <w:t>0</w:t>
      </w:r>
      <w:r>
        <w:rPr>
          <w:rFonts w:ascii="仿宋_GB2312" w:hAnsi="仿宋_GB2312" w:eastAsia="仿宋_GB2312" w:cs="仿宋_GB2312"/>
          <w:kern w:val="0"/>
          <w:sz w:val="32"/>
          <w:szCs w:val="32"/>
        </w:rPr>
        <w:t>%，</w:t>
      </w:r>
    </w:p>
    <w:p>
      <w:pPr>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（二）政府采购支出情况。2020年度部门政府采购支出总额85.0088万元，其中：货物支出20.1148万元、工程支出0万元、服务支出64.894万元。</w:t>
      </w:r>
    </w:p>
    <w:p>
      <w:pPr>
        <w:rPr>
          <w:rFonts w:ascii="仿宋_GB2312" w:hAnsi="仿宋_GB2312" w:eastAsia="仿宋_GB2312" w:cs="仿宋_GB2312"/>
          <w:sz w:val="32"/>
          <w:szCs w:val="32"/>
          <w:lang w:bidi="ar-SA"/>
        </w:rPr>
      </w:pPr>
      <w:r>
        <w:rPr>
          <w:rFonts w:hint="eastAsia" w:ascii="仿宋_GB2312" w:hAnsi="仿宋_GB2312" w:eastAsia="仿宋_GB2312" w:cs="仿宋_GB2312"/>
          <w:sz w:val="32"/>
          <w:szCs w:val="32"/>
          <w:lang w:bidi="ar-SA"/>
        </w:rPr>
        <w:t xml:space="preserve">（三）国有资产占用情况。截至年末部门共有车辆2辆，其中：业务用车1辆；执法执勤用车0辆；专业技术用车1辆；单价50万元以上通用设备0台（套），单价100 万元以上专用设备1台（套）。 </w:t>
      </w:r>
    </w:p>
    <w:p>
      <w:pPr>
        <w:pStyle w:val="5"/>
        <w:autoSpaceDE w:val="0"/>
        <w:autoSpaceDN w:val="0"/>
        <w:spacing w:line="560" w:lineRule="exact"/>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p>
    <w:p>
      <w:pPr>
        <w:pStyle w:val="5"/>
        <w:ind w:firstLine="645"/>
        <w:rPr>
          <w:rFonts w:ascii="仿宋_GB2312" w:hAnsi="仿宋_GB2312" w:eastAsia="仿宋_GB2312"/>
          <w:b/>
          <w:sz w:val="32"/>
          <w:szCs w:val="32"/>
        </w:rPr>
      </w:pPr>
      <w:r>
        <w:rPr>
          <w:rFonts w:ascii="仿宋_GB2312" w:hAnsi="仿宋_GB2312" w:eastAsia="仿宋_GB2312"/>
          <w:b/>
          <w:sz w:val="32"/>
          <w:szCs w:val="32"/>
        </w:rPr>
        <w:t>第四部分：名词解释</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财政拨款收入：指市本级财政当年拨付的资金。</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事业收入：指事业单位开展专业活动用辅助活动所取得的收入。如：......</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经营收入：指事业单位在专业业务活动及辅助活动之外开展非独立核算经营活动取得的收入。</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其他收入：指除上述“财政拨款收入”、“事业收入”、“经营收入”等以外的收入。主要是：......</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年初结转和结余：指以前年度尚未完成、结转到本年按规定继续使用的资金。</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结余分配：指事业单位按规定提取的职工福利基金、事业基金和缴纳的所得税，以及建设单位按规定应交回的基本建设竣工项目结余资金。</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年末结转和结余：指本年度或以前年度预算安排、因客观条件发生变化无法按原计划实施，需延迟到以后年度按有关规定继续使用的资金。</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基本支出：指为保障机构正常运转、完成日常工作任务而发生的人员支出和公用支出。</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项目支出：指在基本支出之外为完成特定行政任务和事业发展目标所发生的支出。</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经营支出：指事业单位在专业业务活动及其辅助活动之外开展非独立核算经营活动发生的支出。</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5"/>
        <w:numPr>
          <w:ilvl w:val="0"/>
          <w:numId w:val="3"/>
        </w:numPr>
        <w:ind w:firstLine="645"/>
        <w:rPr>
          <w:rFonts w:ascii="仿宋_GB2312" w:hAnsi="仿宋_GB2312" w:eastAsia="仿宋_GB2312"/>
          <w:bCs/>
          <w:sz w:val="32"/>
          <w:szCs w:val="32"/>
        </w:rPr>
      </w:pPr>
      <w:r>
        <w:rPr>
          <w:rFonts w:ascii="仿宋_GB2312" w:hAns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pStyle w:val="5"/>
        <w:autoSpaceDE w:val="0"/>
        <w:autoSpaceDN w:val="0"/>
        <w:spacing w:line="560" w:lineRule="exact"/>
        <w:jc w:val="left"/>
        <w:rPr>
          <w:rFonts w:ascii="仿宋_GB2312" w:hAnsi="仿宋_GB2312" w:eastAsia="仿宋_GB2312" w:cs="仿宋_GB2312"/>
          <w:kern w:val="0"/>
          <w:sz w:val="32"/>
          <w:szCs w:val="32"/>
        </w:rPr>
      </w:pPr>
    </w:p>
    <w:p>
      <w:pPr>
        <w:pStyle w:val="5"/>
        <w:rPr>
          <w:rFonts w:ascii="仿宋_GB2312" w:hAnsi="仿宋_GB2312" w:eastAsia="仿宋_GB2312"/>
          <w:b/>
          <w:sz w:val="32"/>
          <w:szCs w:val="32"/>
        </w:rPr>
      </w:pPr>
    </w:p>
    <w:sectPr>
      <w:headerReference r:id="rId13" w:type="default"/>
      <w:footerReference r:id="rId14" w:type="default"/>
      <w:pgSz w:w="11906" w:h="16838"/>
      <w:pgMar w:top="1440" w:right="1797" w:bottom="1440" w:left="1797" w:header="851" w:footer="992" w:gutter="0"/>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BF28A9-7D19-482C-90F0-94BF317595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875D2A97-1865-424A-99EC-C1DC0A0FA713}"/>
  </w:font>
  <w:font w:name="ArialUnicodeMS">
    <w:altName w:val="宋体"/>
    <w:panose1 w:val="00000000000000000000"/>
    <w:charset w:val="86"/>
    <w:family w:val="roma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99C0E653-26BB-4FFF-9876-3304E6AE691D}"/>
  </w:font>
  <w:font w:name="华文仿宋">
    <w:altName w:val="仿宋"/>
    <w:panose1 w:val="02010600040101010101"/>
    <w:charset w:val="86"/>
    <w:family w:val="auto"/>
    <w:pitch w:val="default"/>
    <w:sig w:usb0="00000000" w:usb1="00000000" w:usb2="00000010" w:usb3="00000000" w:csb0="0004009F" w:csb1="00000000"/>
    <w:embedRegular r:id="rId4" w:fontKey="{CC7FD739-603A-4010-B91B-107CA431F475}"/>
  </w:font>
  <w:font w:name="Arial">
    <w:panose1 w:val="020B0604020202020204"/>
    <w:charset w:val="00"/>
    <w:family w:val="swiss"/>
    <w:pitch w:val="default"/>
    <w:sig w:usb0="E0002EFF" w:usb1="C000785B" w:usb2="00000009" w:usb3="00000000" w:csb0="400001FF" w:csb1="FFFF0000"/>
    <w:embedRegular r:id="rId5" w:fontKey="{ADE52F4A-061F-481C-8915-3934DF3AB29D}"/>
  </w:font>
  <w:font w:name="MingLiU">
    <w:altName w:val="PMingLiU-ExtB"/>
    <w:panose1 w:val="02020509000000000000"/>
    <w:charset w:val="88"/>
    <w:family w:val="modern"/>
    <w:pitch w:val="default"/>
    <w:sig w:usb0="00000000" w:usb1="00000000" w:usb2="00000016" w:usb3="00000000" w:csb0="00100001" w:csb1="00000000"/>
    <w:embedRegular r:id="rId6" w:fontKey="{6D077A83-6BD9-49A3-BC8A-D52594E287B4}"/>
  </w:font>
  <w:font w:name="华文中宋">
    <w:altName w:val="宋体"/>
    <w:panose1 w:val="02010600040101010101"/>
    <w:charset w:val="86"/>
    <w:family w:val="auto"/>
    <w:pitch w:val="default"/>
    <w:sig w:usb0="00000000" w:usb1="00000000" w:usb2="00000010" w:usb3="00000000" w:csb0="0004009F" w:csb1="00000000"/>
    <w:embedRegular r:id="rId7" w:fontKey="{DAA7A6A5-CFC8-437C-BB32-984516E94BA5}"/>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0"/>
      <w:jc w:val="center"/>
      <w:rPr>
        <w:rFonts w:ascii="宋体" w:hAns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t xml:space="preserve"> -</w:t>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1" name="框架1"/>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12</w:t>
                          </w:r>
                          <w:r>
                            <w:rPr>
                              <w:sz w:val="30"/>
                              <w:szCs w:val="30"/>
                            </w:rPr>
                            <w:fldChar w:fldCharType="end"/>
                          </w:r>
                        </w:p>
                      </w:txbxContent>
                    </wps:txbx>
                    <wps:bodyPr lIns="0" tIns="0" rIns="0" bIns="0">
                      <a:spAutoFit/>
                    </wps:bodyPr>
                  </wps:wsp>
                </a:graphicData>
              </a:graphic>
            </wp:anchor>
          </w:drawing>
        </mc:Choice>
        <mc:Fallback>
          <w:pict>
            <v:rect id="框架1" o:spid="_x0000_s1026" o:spt="1" style="position:absolute;left:0pt;margin-top:0.05pt;height:17.2pt;width:15.1pt;mso-position-horizontal:center;mso-position-horizontal-relative:margin;mso-wrap-distance-bottom:0pt;mso-wrap-distance-left:0pt;mso-wrap-distance-right:0pt;mso-wrap-distance-top:0pt;z-index:-251657216;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IK8jt22AQAAdwMAAA4AAABkcnMvZTJvRG9jLnhtbK1TS27bMBDdF+gd&#10;CO5rSV6kqWA5CGAkCBC0AdIegKYoiwB/mKEt+QI5RoBeokfKOTqkZKdNN1l0Q82QwzfvvaFWV6M1&#10;7KAAtXcNrxYlZ8pJ32q3a/iP7zefLjnDKFwrjHeq4UeF/Gr98cNqCLVa+t6bVgEjEIf1EBrexxjq&#10;okDZKytw4YNydNh5sCJSCruiBTEQujXFsiwvisFDG8BLhUi7m+mQz4jwHkDfdVqqjZd7q1ycUEEZ&#10;EUkS9jogX2e2Xadk/NZ1qCIzDSelMa/UhOJtWov1StQ7EKHXcqYg3kPhjSYrtKOmZ6iNiILtQf8D&#10;ZbUEj76LC+ltMQnJjpCKqnzjzWMvgspayGoMZ9Px/8HKr4cHYLqll8CZE5YG/vLz6eX5V5WsGQLW&#10;VPEYHmDOkMKkc+zApi8pYGO283i2U42RSdqsvlTVBRkt6WhZfb4ss93F6+UAGG+VtywFDQeaVjZR&#10;HO4xUkMqPZWkXs7faGPyxIxjQ+r31zaVG0e3EuuJZ4riuB1n8lvfHkmtuXPkYHoNpwBOwXYOEi6G&#10;632klplJQpquzw1oHpng/HbSwP/Mc9Xr/7L+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ZHdzbQ&#10;AAAAAwEAAA8AAAAAAAAAAQAgAAAAIgAAAGRycy9kb3ducmV2LnhtbFBLAQIUABQAAAAIAIdO4kCC&#10;vI7dtgEAAHcDAAAOAAAAAAAAAAEAIAAAAB8BAABkcnMvZTJvRG9jLnhtbFBLBQYAAAAABgAGAFkB&#10;AABHBQAAAAA=&#10;">
              <v:fill on="f" focussize="0,0"/>
              <v:stroke on="f" weight="0pt"/>
              <v:imagedata o:title=""/>
              <o:lock v:ext="edit" aspectratio="f"/>
              <v:textbox inset="0mm,0mm,0mm,0mm" style="mso-fit-shape-to-text:t;">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12</w:t>
                    </w:r>
                    <w:r>
                      <w:rPr>
                        <w:sz w:val="30"/>
                        <w:szCs w:val="30"/>
                      </w:rPr>
                      <w:fldChar w:fldCharType="end"/>
                    </w:r>
                  </w:p>
                </w:txbxContent>
              </v:textbox>
              <w10:wrap type="squar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60288"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3" name="图像1"/>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13</w:t>
                          </w:r>
                          <w:r>
                            <w:rPr>
                              <w:sz w:val="30"/>
                              <w:szCs w:val="30"/>
                            </w:rPr>
                            <w:fldChar w:fldCharType="end"/>
                          </w:r>
                        </w:p>
                      </w:txbxContent>
                    </wps:txbx>
                    <wps:bodyPr lIns="0" tIns="0" rIns="0" bIns="0">
                      <a:spAutoFit/>
                    </wps:bodyPr>
                  </wps:wsp>
                </a:graphicData>
              </a:graphic>
            </wp:anchor>
          </w:drawing>
        </mc:Choice>
        <mc:Fallback>
          <w:pict>
            <v:rect id="图像1" o:spid="_x0000_s1026" o:spt="1" style="position:absolute;left:0pt;margin-top:0.05pt;height:17.2pt;width:15.1pt;mso-position-horizontal:center;mso-position-horizontal-relative:margin;mso-wrap-distance-bottom:0pt;mso-wrap-distance-left:0pt;mso-wrap-distance-right:0pt;mso-wrap-distance-top:0pt;z-index:-251656192;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IliXC3AQAAdwMAAA4AAABkcnMvZTJvRG9jLnhtbK1TS27bMBDdF+gd&#10;CO5rSS6QpoLloICRIEDRBkhzAJqiLAL8YYa25HUP0AP0Lr1N7tEhJTufbrLohpohh2/ee0OtrkZr&#10;2EEBau8aXi1KzpSTvtVu1/CHH9cfLjnDKFwrjHeq4UeF/Gr9/t1qCLVa+t6bVgEjEIf1EBrexxjq&#10;okDZKytw4YNydNh5sCJSCruiBTEQujXFsiwvisFDG8BLhUi7m+mQz4jwFkDfdVqqjZd7q1ycUEEZ&#10;EUkS9jogX2e2Xadk/N51qCIzDSelMa/UhOJtWov1StQ7EKHXcqYg3kLhlSYrtKOmZ6iNiILtQf8D&#10;ZbUEj76LC+ltMQnJjpCKqnzlzX0vgspayGoMZ9Px/8HKb4c7YLpt+EfOnLA08Mfffx5//qqSNUPA&#10;miruwx3MGVKYdI4d2PQlBWzMdh7PdqoxMkmb1eequiCjJR0tq0+XZba7eLocAOON8paloOFA08om&#10;isNXjNSQSk8lqZfz19qYPDHj2JD6vdimcuPoVmI98UxRHLfjTH7r2yOpNbeOHEyv4RTAKdjOQcLF&#10;8GUfqWVmkpCm63MDmkcmOL+dNPDnea56+l/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kiWJcLcBAAB3AwAADgAAAAAAAAABACAAAAAfAQAAZHJzL2Uyb0RvYy54bWxQSwUGAAAAAAYABgBZ&#10;AQAASAUAAAAA&#10;">
              <v:fill on="f" focussize="0,0"/>
              <v:stroke on="f" weight="0pt"/>
              <v:imagedata o:title=""/>
              <o:lock v:ext="edit" aspectratio="f"/>
              <v:textbox inset="0mm,0mm,0mm,0mm" style="mso-fit-shape-to-text:t;">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13</w:t>
                    </w:r>
                    <w:r>
                      <w:rPr>
                        <w:sz w:val="30"/>
                        <w:szCs w:val="30"/>
                      </w:rPr>
                      <w:fldChar w:fldCharType="end"/>
                    </w:r>
                  </w:p>
                </w:txbxContent>
              </v:textbox>
              <w10:wrap type="squar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61312"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5" name="图像2"/>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14</w:t>
                          </w:r>
                          <w:r>
                            <w:rPr>
                              <w:sz w:val="30"/>
                              <w:szCs w:val="30"/>
                            </w:rPr>
                            <w:fldChar w:fldCharType="end"/>
                          </w:r>
                        </w:p>
                      </w:txbxContent>
                    </wps:txbx>
                    <wps:bodyPr lIns="0" tIns="0" rIns="0" bIns="0">
                      <a:spAutoFit/>
                    </wps:bodyPr>
                  </wps:wsp>
                </a:graphicData>
              </a:graphic>
            </wp:anchor>
          </w:drawing>
        </mc:Choice>
        <mc:Fallback>
          <w:pict>
            <v:rect id="图像2" o:spid="_x0000_s1026" o:spt="1" style="position:absolute;left:0pt;margin-top:0.05pt;height:17.2pt;width:15.1pt;mso-position-horizontal:center;mso-position-horizontal-relative:margin;mso-wrap-distance-bottom:0pt;mso-wrap-distance-left:0pt;mso-wrap-distance-right:0pt;mso-wrap-distance-top:0pt;z-index:-251655168;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Q7Z2i3AQAAdwMAAA4AAABkcnMvZTJvRG9jLnhtbK1TS27bMBDdF+gd&#10;CO5rSQaapoLloICRIEDRBkhzAJqiLAL8YYa25HUP0AP0Lr1N7tEhJTufbrLohpohh2/ee0OtrkZr&#10;2EEBau8aXi1KzpSTvtVu1/CHH9cfLjnDKFwrjHeq4UeF/Gr9/t1qCLVa+t6bVgEjEIf1EBrexxjq&#10;okDZKytw4YNydNh5sCJSCruiBTEQujXFsiwvisFDG8BLhUi7m+mQz4jwFkDfdVqqjZd7q1ycUEEZ&#10;EUkS9jogX2e2Xadk/N51qCIzDSelMa/UhOJtWov1StQ7EKHXcqYg3kLhlSYrtKOmZ6iNiILtQf8D&#10;ZbUEj76LC+ltMQnJjpCKqnzlzX0vgspayGoMZ9Px/8HKb4c7YLpt+EfOnLA08Mfffx5//loma4aA&#10;NVXchzuYM6Qw6Rw7sOlLCtiY7Tye7VRjZJI2q89VdUFGSzpaVp8uy2x38XQ5AMYb5S1LQcOBppVN&#10;FIevGKkhlZ5KUi/nr7UxeWLGsSH1e7FN5cbRrcR64pmiOG7HmfzWt0dSa24dOZhewymAU7Cdg4SL&#10;4cs+UsvMJCFN1+cGNI9McH47aeDP81z19L+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lDtnaLcBAAB3AwAADgAAAAAAAAABACAAAAAfAQAAZHJzL2Uyb0RvYy54bWxQSwUGAAAAAAYABgBZ&#10;AQAASAUAAAAA&#10;">
              <v:fill on="f" focussize="0,0"/>
              <v:stroke on="f" weight="0pt"/>
              <v:imagedata o:title=""/>
              <o:lock v:ext="edit" aspectratio="f"/>
              <v:textbox inset="0mm,0mm,0mm,0mm" style="mso-fit-shape-to-text:t;">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14</w:t>
                    </w:r>
                    <w:r>
                      <w:rPr>
                        <w:sz w:val="30"/>
                        <w:szCs w:val="30"/>
                      </w:rPr>
                      <w:fldChar w:fldCharType="end"/>
                    </w:r>
                  </w:p>
                </w:txbxContent>
              </v:textbox>
              <w10:wrap type="squar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61312"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7" name="图像3"/>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16</w:t>
                          </w:r>
                          <w:r>
                            <w:rPr>
                              <w:sz w:val="30"/>
                              <w:szCs w:val="30"/>
                            </w:rPr>
                            <w:fldChar w:fldCharType="end"/>
                          </w:r>
                        </w:p>
                      </w:txbxContent>
                    </wps:txbx>
                    <wps:bodyPr lIns="0" tIns="0" rIns="0" bIns="0">
                      <a:spAutoFit/>
                    </wps:bodyPr>
                  </wps:wsp>
                </a:graphicData>
              </a:graphic>
            </wp:anchor>
          </w:drawing>
        </mc:Choice>
        <mc:Fallback>
          <w:pict>
            <v:rect id="图像3" o:spid="_x0000_s1026" o:spt="1" style="position:absolute;left:0pt;margin-top:0.05pt;height:17.2pt;width:15.1pt;mso-position-horizontal:center;mso-position-horizontal-relative:margin;mso-wrap-distance-bottom:0pt;mso-wrap-distance-left:0pt;mso-wrap-distance-right:0pt;mso-wrap-distance-top:0pt;z-index:-251655168;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YxPWC3AQAAdwMAAA4AAABkcnMvZTJvRG9jLnhtbK1TS27bMBDdF+gd&#10;CO5rSS6QpILloICRokCRBkh7AJqiLAL8YYa25HUOkAPkLr1N7tEhJTttusmiG2qGHL557w21uh6t&#10;YQcFqL1reLUoOVNO+la7XcN//rj5cMUZRuFaYbxTDT8q5Nfr9+9WQ6jV0vfetAoYgTish9DwPsZQ&#10;FwXKXlmBCx+Uo8POgxWRUtgVLYiB0K0plmV5UQwe2gBeKkTa3UyHfEaEtwD6rtNSbbzcW+XihArK&#10;iEiSsNcB+Tqz7Tol4/euQxWZaTgpjXmlJhRv01qsV6LegQi9ljMF8RYKrzRZoR01PUNtRBRsD/of&#10;KKslePRdXEhvi0lIdoRUVOUrb+57EVTWQlZjOJuO/w9W3h7ugOm24ZecOWFp4M9Pv54fHj8ma4aA&#10;NVXchzuYM6Qw6Rw7sOlLCtiY7Tye7VRjZJI2q09VdUFGSzpaVpdXZba7eLkcAOMX5S1LQcOBppVN&#10;FIdvGKkhlZ5KUi/nb7QxeWLGsSH1+2ubyo2jW4n1xDNFcdyOM/mtb4+k1nx15GB6DacATsF2DhIu&#10;hs/7SC0zk4Q0XZ8b0DwywfntpIH/meeql/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ljE9YLcBAAB3AwAADgAAAAAAAAABACAAAAAfAQAAZHJzL2Uyb0RvYy54bWxQSwUGAAAAAAYABgBZ&#10;AQAASAUAAAAA&#10;">
              <v:fill on="f" focussize="0,0"/>
              <v:stroke on="f" weight="0pt"/>
              <v:imagedata o:title=""/>
              <o:lock v:ext="edit" aspectratio="f"/>
              <v:textbox inset="0mm,0mm,0mm,0mm" style="mso-fit-shape-to-text:t;">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16</w:t>
                    </w:r>
                    <w:r>
                      <w:rPr>
                        <w:sz w:val="30"/>
                        <w:szCs w:val="30"/>
                      </w:rPr>
                      <w:fldChar w:fldCharType="end"/>
                    </w:r>
                  </w:p>
                </w:txbxContent>
              </v:textbox>
              <w10:wrap type="squar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62336" behindDoc="1" locked="0" layoutInCell="0" allowOverlap="1">
              <wp:simplePos x="0" y="0"/>
              <wp:positionH relativeFrom="margin">
                <wp:align>center</wp:align>
              </wp:positionH>
              <wp:positionV relativeFrom="paragraph">
                <wp:posOffset>635</wp:posOffset>
              </wp:positionV>
              <wp:extent cx="191770" cy="218440"/>
              <wp:effectExtent l="0" t="0" r="0" b="0"/>
              <wp:wrapSquare wrapText="bothSides"/>
              <wp:docPr id="9" name="图像4"/>
              <wp:cNvGraphicFramePr/>
              <a:graphic xmlns:a="http://schemas.openxmlformats.org/drawingml/2006/main">
                <a:graphicData uri="http://schemas.microsoft.com/office/word/2010/wordprocessingShape">
                  <wps:wsp>
                    <wps:cNvSpPr/>
                    <wps:spPr>
                      <a:xfrm>
                        <a:off x="0" y="0"/>
                        <a:ext cx="191160" cy="21780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21</w:t>
                          </w:r>
                          <w:r>
                            <w:rPr>
                              <w:sz w:val="30"/>
                              <w:szCs w:val="30"/>
                            </w:rPr>
                            <w:fldChar w:fldCharType="end"/>
                          </w:r>
                        </w:p>
                      </w:txbxContent>
                    </wps:txbx>
                    <wps:bodyPr lIns="0" tIns="0" rIns="0" bIns="0">
                      <a:spAutoFit/>
                    </wps:bodyPr>
                  </wps:wsp>
                </a:graphicData>
              </a:graphic>
            </wp:anchor>
          </w:drawing>
        </mc:Choice>
        <mc:Fallback>
          <w:pict>
            <v:rect id="图像4" o:spid="_x0000_s1026" o:spt="1" style="position:absolute;left:0pt;margin-top:0.05pt;height:17.2pt;width:15.1pt;mso-position-horizontal:center;mso-position-horizontal-relative:margin;mso-wrap-distance-bottom:0pt;mso-wrap-distance-left:0pt;mso-wrap-distance-right:0pt;mso-wrap-distance-top:0pt;z-index:-251654144;mso-width-relative:page;mso-height-relative:page;" filled="f" stroked="f" coordsize="21600,21600" o:allowincell="f" o:gfxdata="UEsDBAoAAAAAAIdO4kAAAAAAAAAAAAAAAAAEAAAAZHJzL1BLAwQUAAAACACHTuJAZkd3NtAAAAAD&#10;AQAADwAAAGRycy9kb3ducmV2LnhtbE2PT0/DMAzF70h8h8hI3FjS8afQNd0BsTsMDhy9xmsDjVM1&#10;2Va+Pd4JTtbzs977uV7PYVBHmpKPbKFYGFDEbXSeOwsf75ubR1ApIzscIpOFH0qwbi4vaqxcPPEb&#10;Hbe5UxLCqUILfc5jpXVqewqYFnEkFm8fp4BZ5NRpN+FJwsOgl8Y86ICepaHHkZ57ar+3h2BBe/9V&#10;fobCvOBmfu2fytIbX1p7fVWYFahMc/47hjO+oEMjTLt4YJfUYEEeyeetEu/WLEHtZN7dg25q/Z+9&#10;+QVQSwMEFAAAAAgAh07iQJgHu1m3AQAAdwMAAA4AAABkcnMvZTJvRG9jLnhtbK1TS27bMBDdF+gd&#10;CO5rSUaRJoLloICRokDRBkhzAJqiLAL8YYa25HUP0AP0LrlN7pEhJTtpusmiG2qGHL557w21uh6t&#10;YQcFqL1reLUoOVNO+la7XcPvf958uOQMo3CtMN6phh8V8uv1+3erIdRq6XtvWgWMQBzWQ2h4H2Oo&#10;iwJlr6zAhQ/K0WHnwYpIKeyKFsRA6NYUy7K8KAYPbQAvFSLtbqZDPiPCWwB912mpNl7urXJxQgVl&#10;RCRJ2OuAfJ3Zdp2S8UfXoYrMNJyUxrxSE4q3aS3WK1HvQIRey5mCeAuFV5qs0I6anqE2Igq2B/0P&#10;lNUSPPouLqS3xSQkO0IqqvKVN3e9CCprIasxnE3H/wcrvx9ugem24VecOWFp4I9/Hh5//f6YrBkC&#10;1lRxF25hzpDCpHPswKYvKWBjtvN4tlONkUnarK6q6oKMlnS0rD5dltnu4vlyAIxflLcsBQ0HmlY2&#10;URy+YaSGVHoqSb2cv9HG5IkZx4bU769tKjeObiXWE88UxXE7zuS3vj2SWvPVkYPpNZwCOAXbOUi4&#10;GD7vI7XMTBLSdH1uQPPIBOe3kwb+Ms9Vz//L+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R3c2&#10;0AAAAAMBAAAPAAAAAAAAAAEAIAAAACIAAABkcnMvZG93bnJldi54bWxQSwECFAAUAAAACACHTuJA&#10;mAe7WbcBAAB3AwAADgAAAAAAAAABACAAAAAfAQAAZHJzL2Uyb0RvYy54bWxQSwUGAAAAAAYABgBZ&#10;AQAASAUAAAAA&#10;">
              <v:fill on="f" focussize="0,0"/>
              <v:stroke on="f" weight="0pt"/>
              <v:imagedata o:title=""/>
              <o:lock v:ext="edit" aspectratio="f"/>
              <v:textbox inset="0mm,0mm,0mm,0mm" style="mso-fit-shape-to-text:t;">
                <w:txbxContent>
                  <w:p>
                    <w:pPr>
                      <w:pStyle w:val="9"/>
                      <w:rPr>
                        <w:rStyle w:val="6"/>
                        <w:sz w:val="30"/>
                        <w:szCs w:val="30"/>
                      </w:rPr>
                    </w:pPr>
                    <w:r>
                      <w:rPr>
                        <w:sz w:val="30"/>
                        <w:szCs w:val="30"/>
                      </w:rPr>
                      <w:fldChar w:fldCharType="begin"/>
                    </w:r>
                    <w:r>
                      <w:rPr>
                        <w:sz w:val="30"/>
                        <w:szCs w:val="30"/>
                      </w:rPr>
                      <w:instrText xml:space="preserve">PAGE</w:instrText>
                    </w:r>
                    <w:r>
                      <w:rPr>
                        <w:sz w:val="30"/>
                        <w:szCs w:val="30"/>
                      </w:rPr>
                      <w:fldChar w:fldCharType="separate"/>
                    </w:r>
                    <w:r>
                      <w:rPr>
                        <w:sz w:val="30"/>
                        <w:szCs w:val="30"/>
                      </w:rPr>
                      <w:t>21</w:t>
                    </w:r>
                    <w:r>
                      <w:rPr>
                        <w:sz w:val="30"/>
                        <w:szCs w:val="30"/>
                      </w:rPr>
                      <w:fldChar w:fldCharType="end"/>
                    </w:r>
                  </w:p>
                </w:txbxContent>
              </v:textbox>
              <w10:wrap type="square"/>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63497"/>
    <w:multiLevelType w:val="singleLevel"/>
    <w:tmpl w:val="C3663497"/>
    <w:lvl w:ilvl="0" w:tentative="0">
      <w:start w:val="1"/>
      <w:numFmt w:val="decimal"/>
      <w:lvlText w:val="%1."/>
      <w:lvlJc w:val="left"/>
      <w:pPr>
        <w:tabs>
          <w:tab w:val="left" w:pos="312"/>
        </w:tabs>
      </w:pPr>
    </w:lvl>
  </w:abstractNum>
  <w:abstractNum w:abstractNumId="1">
    <w:nsid w:val="CF092B84"/>
    <w:multiLevelType w:val="multilevel"/>
    <w:tmpl w:val="CF092B84"/>
    <w:lvl w:ilvl="0" w:tentative="0">
      <w:start w:val="1"/>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autoHyphenation/>
  <w:noPunctuationKerning w:val="1"/>
  <w:characterSpacingControl w:val="doNotCompress"/>
  <w:compat>
    <w:balanceSingleByteDoubleByteWidth/>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00580A63"/>
    <w:rsid w:val="00390B3F"/>
    <w:rsid w:val="00580A63"/>
    <w:rsid w:val="005E435A"/>
    <w:rsid w:val="006B4422"/>
    <w:rsid w:val="00BA5C04"/>
    <w:rsid w:val="01EA4797"/>
    <w:rsid w:val="06781894"/>
    <w:rsid w:val="07AD61BF"/>
    <w:rsid w:val="08B418E1"/>
    <w:rsid w:val="0BB54F3B"/>
    <w:rsid w:val="0C821004"/>
    <w:rsid w:val="0E577582"/>
    <w:rsid w:val="10DC2732"/>
    <w:rsid w:val="12C2315D"/>
    <w:rsid w:val="145C7432"/>
    <w:rsid w:val="156B0E1E"/>
    <w:rsid w:val="17197074"/>
    <w:rsid w:val="1A3866C5"/>
    <w:rsid w:val="21E52B71"/>
    <w:rsid w:val="266B3665"/>
    <w:rsid w:val="2A5D088C"/>
    <w:rsid w:val="305A318C"/>
    <w:rsid w:val="323F710D"/>
    <w:rsid w:val="34092EF8"/>
    <w:rsid w:val="343B39DA"/>
    <w:rsid w:val="37BE4164"/>
    <w:rsid w:val="3DDE05D4"/>
    <w:rsid w:val="3E3E41FD"/>
    <w:rsid w:val="3EAF6B2F"/>
    <w:rsid w:val="3F5A2674"/>
    <w:rsid w:val="402B0409"/>
    <w:rsid w:val="40671B41"/>
    <w:rsid w:val="40A46435"/>
    <w:rsid w:val="40D44E43"/>
    <w:rsid w:val="440A5895"/>
    <w:rsid w:val="4669297B"/>
    <w:rsid w:val="476A55D5"/>
    <w:rsid w:val="49B4065F"/>
    <w:rsid w:val="4A182BC4"/>
    <w:rsid w:val="4DCD07A5"/>
    <w:rsid w:val="5CBA250B"/>
    <w:rsid w:val="638431E4"/>
    <w:rsid w:val="63C44C25"/>
    <w:rsid w:val="66E22918"/>
    <w:rsid w:val="672D110E"/>
    <w:rsid w:val="694D273B"/>
    <w:rsid w:val="6B227DC3"/>
    <w:rsid w:val="6C9F238A"/>
    <w:rsid w:val="6DBB6A66"/>
    <w:rsid w:val="6F4A054B"/>
    <w:rsid w:val="71AC49D6"/>
    <w:rsid w:val="763712D9"/>
    <w:rsid w:val="765D5431"/>
    <w:rsid w:val="7D37681A"/>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宋体" w:hAnsi="宋体" w:cs="宋体"/>
      <w:sz w:val="24"/>
    </w:rPr>
  </w:style>
  <w:style w:type="paragraph" w:customStyle="1" w:styleId="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
    <w:name w:val="页码1"/>
    <w:basedOn w:val="4"/>
    <w:qFormat/>
    <w:uiPriority w:val="0"/>
  </w:style>
  <w:style w:type="character" w:customStyle="1" w:styleId="7">
    <w:name w:val="font11"/>
    <w:basedOn w:val="4"/>
    <w:qFormat/>
    <w:uiPriority w:val="0"/>
    <w:rPr>
      <w:rFonts w:ascii="宋体" w:hAnsi="宋体" w:eastAsia="宋体" w:cs="宋体"/>
      <w:color w:val="000000"/>
      <w:sz w:val="22"/>
      <w:szCs w:val="22"/>
      <w:u w:val="none"/>
    </w:rPr>
  </w:style>
  <w:style w:type="character" w:customStyle="1" w:styleId="8">
    <w:name w:val="font01"/>
    <w:basedOn w:val="4"/>
    <w:qFormat/>
    <w:uiPriority w:val="0"/>
    <w:rPr>
      <w:rFonts w:ascii="宋体" w:hAnsi="宋体" w:eastAsia="宋体" w:cs="宋体"/>
      <w:color w:val="000000"/>
      <w:sz w:val="24"/>
      <w:szCs w:val="24"/>
      <w:u w:val="none"/>
    </w:rPr>
  </w:style>
  <w:style w:type="paragraph" w:customStyle="1" w:styleId="9">
    <w:name w:val="页脚1"/>
    <w:basedOn w:val="5"/>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lzhb-xxzx</Company>
  <Pages>26</Pages>
  <Words>1846</Words>
  <Characters>10523</Characters>
  <Lines>87</Lines>
  <Paragraphs>24</Paragraphs>
  <TotalTime>5</TotalTime>
  <ScaleCrop>false</ScaleCrop>
  <LinksUpToDate>false</LinksUpToDate>
  <CharactersWithSpaces>12345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2021-07-19T09:38:00Z</cp:lastPrinted>
  <dcterms:modified xsi:type="dcterms:W3CDTF">2023-11-21T08:53:57Z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6A25ADE8C3324AA78BF6D7E922D88A83</vt:lpwstr>
  </property>
</Properties>
</file>