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val="en-US" w:eastAsia="zh-CN"/>
        </w:rPr>
        <w:t>红十字会医院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val="en-US" w:eastAsia="zh-CN"/>
        </w:rPr>
        <w:t>柳州市红十字会医院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val="en-US" w:eastAsia="zh-CN"/>
        </w:rPr>
        <w:t>柳州市红十字会医院</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w:t>
      </w:r>
      <w:r>
        <w:rPr>
          <w:rFonts w:hint="eastAsia" w:ascii="仿宋_GB2312" w:eastAsia="仿宋_GB2312"/>
          <w:sz w:val="32"/>
          <w:szCs w:val="32"/>
          <w:lang w:val="en-US" w:eastAsia="zh-CN"/>
        </w:rPr>
        <w:t>收入</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val="en-US" w:eastAsia="zh-CN"/>
        </w:rPr>
        <w:t>柳州市红十字会医院</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val="en-US" w:eastAsia="zh-CN"/>
        </w:rPr>
        <w:t>柳州市红十字会医院</w:t>
      </w:r>
      <w:r>
        <w:rPr>
          <w:rFonts w:hint="eastAsia" w:ascii="仿宋_GB2312" w:eastAsia="仿宋_GB2312"/>
          <w:b/>
          <w:sz w:val="32"/>
          <w:szCs w:val="32"/>
        </w:rPr>
        <w:t>概况</w:t>
      </w:r>
    </w:p>
    <w:p>
      <w:pPr>
        <w:numPr>
          <w:ilvl w:val="0"/>
          <w:numId w:val="1"/>
        </w:numPr>
        <w:ind w:firstLine="646"/>
        <w:rPr>
          <w:rFonts w:hint="eastAsia" w:ascii="仿宋_GB2312" w:eastAsia="仿宋_GB2312"/>
          <w:sz w:val="32"/>
          <w:szCs w:val="32"/>
        </w:rPr>
      </w:pPr>
      <w:r>
        <w:rPr>
          <w:rFonts w:hint="eastAsia" w:ascii="仿宋_GB2312" w:eastAsia="仿宋_GB2312"/>
          <w:sz w:val="32"/>
          <w:szCs w:val="32"/>
        </w:rPr>
        <w:t>主要职能</w:t>
      </w:r>
    </w:p>
    <w:p>
      <w:pPr>
        <w:numPr>
          <w:ilvl w:val="0"/>
          <w:numId w:val="0"/>
        </w:num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为患者提供医疗服务</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部门决算单位：柳州市红十字会医院</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val="en-US" w:eastAsia="zh-CN"/>
        </w:rPr>
        <w:t>柳州市红十字会医院</w:t>
      </w:r>
      <w:r>
        <w:rPr>
          <w:rFonts w:hint="eastAsia" w:ascii="仿宋_GB2312" w:eastAsia="仿宋_GB2312"/>
          <w:b/>
          <w:sz w:val="32"/>
          <w:szCs w:val="32"/>
        </w:rPr>
        <w:t>2020年部门决算报表</w:t>
      </w:r>
    </w:p>
    <w:tbl>
      <w:tblPr>
        <w:tblStyle w:val="7"/>
        <w:tblW w:w="8720" w:type="dxa"/>
        <w:jc w:val="center"/>
        <w:tblLayout w:type="fixed"/>
        <w:tblCellMar>
          <w:top w:w="0" w:type="dxa"/>
          <w:left w:w="108" w:type="dxa"/>
          <w:bottom w:w="0" w:type="dxa"/>
          <w:right w:w="108" w:type="dxa"/>
        </w:tblCellMar>
      </w:tblPr>
      <w:tblGrid>
        <w:gridCol w:w="2600"/>
        <w:gridCol w:w="1380"/>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3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574.58</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一、社会保障和就业支出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15,414.74</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三、国有资本经营预算财政拨款收入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0.00</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三、抗疫特别国债安排的支出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1,150.00</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四、上级补助收入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660.23</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五、事业收入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11,853.17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六、经营收入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七、附属单位上缴收入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八、其他收入</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1,126.35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15,364.32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color w:val="000000"/>
                <w:kern w:val="0"/>
                <w:sz w:val="24"/>
                <w:szCs w:val="24"/>
                <w:u w:val="none"/>
                <w:lang w:val="en-US" w:eastAsia="zh-CN" w:bidi="ar"/>
              </w:rPr>
              <w:t>16,615.74</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1,212.19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17.22</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65.22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4"/>
                <w:szCs w:val="24"/>
                <w:u w:val="none"/>
                <w:lang w:val="en-US" w:eastAsia="zh-CN" w:bidi="ar"/>
              </w:rPr>
              <w:t>8.78</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16,641.74</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16,641.74</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7"/>
        <w:tblW w:w="14140" w:type="dxa"/>
        <w:jc w:val="center"/>
        <w:tblLayout w:type="fixed"/>
        <w:tblCellMar>
          <w:top w:w="0" w:type="dxa"/>
          <w:left w:w="108" w:type="dxa"/>
          <w:bottom w:w="0" w:type="dxa"/>
          <w:right w:w="108" w:type="dxa"/>
        </w:tblCellMar>
      </w:tblPr>
      <w:tblGrid>
        <w:gridCol w:w="995"/>
        <w:gridCol w:w="2365"/>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kern w:val="0"/>
                <w:sz w:val="22"/>
                <w:szCs w:val="22"/>
              </w:rPr>
            </w:pPr>
          </w:p>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1038" w:hRule="atLeast"/>
          <w:jc w:val="center"/>
        </w:trPr>
        <w:tc>
          <w:tcPr>
            <w:tcW w:w="995"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36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15,364.32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1,724.58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660.23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11,853.17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1,126.35</w:t>
            </w:r>
          </w:p>
        </w:tc>
      </w:tr>
      <w:tr>
        <w:tblPrEx>
          <w:tblCellMar>
            <w:top w:w="0" w:type="dxa"/>
            <w:left w:w="108" w:type="dxa"/>
            <w:bottom w:w="0" w:type="dxa"/>
            <w:right w:w="108" w:type="dxa"/>
          </w:tblCellMar>
        </w:tblPrEx>
        <w:trPr>
          <w:trHeight w:val="288" w:hRule="atLeast"/>
          <w:jc w:val="center"/>
        </w:trPr>
        <w:tc>
          <w:tcPr>
            <w:tcW w:w="9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208</w:t>
            </w:r>
          </w:p>
        </w:tc>
        <w:tc>
          <w:tcPr>
            <w:tcW w:w="23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20805</w:t>
            </w:r>
          </w:p>
        </w:tc>
        <w:tc>
          <w:tcPr>
            <w:tcW w:w="23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行政事业单位养老支出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2080502</w:t>
            </w:r>
          </w:p>
        </w:tc>
        <w:tc>
          <w:tcPr>
            <w:tcW w:w="23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w:t>
            </w:r>
          </w:p>
        </w:tc>
        <w:tc>
          <w:tcPr>
            <w:tcW w:w="23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卫生健康支出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14,163.32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523.58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660.23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11,853.17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1,126.35</w:t>
            </w:r>
          </w:p>
        </w:tc>
      </w:tr>
      <w:tr>
        <w:tblPrEx>
          <w:tblCellMar>
            <w:top w:w="0" w:type="dxa"/>
            <w:left w:w="108" w:type="dxa"/>
            <w:bottom w:w="0" w:type="dxa"/>
            <w:right w:w="108" w:type="dxa"/>
          </w:tblCellMar>
        </w:tblPrEx>
        <w:trPr>
          <w:trHeight w:val="288" w:hRule="atLeast"/>
          <w:jc w:val="center"/>
        </w:trPr>
        <w:tc>
          <w:tcPr>
            <w:tcW w:w="9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21002</w:t>
            </w:r>
          </w:p>
        </w:tc>
        <w:tc>
          <w:tcPr>
            <w:tcW w:w="23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公立医院</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13,840.90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201.15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660.23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11,853.17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1,126.35</w:t>
            </w:r>
          </w:p>
        </w:tc>
      </w:tr>
      <w:tr>
        <w:tblPrEx>
          <w:tblCellMar>
            <w:top w:w="0" w:type="dxa"/>
            <w:left w:w="108" w:type="dxa"/>
            <w:bottom w:w="0" w:type="dxa"/>
            <w:right w:w="108" w:type="dxa"/>
          </w:tblCellMar>
        </w:tblPrEx>
        <w:trPr>
          <w:trHeight w:val="288" w:hRule="atLeast"/>
          <w:jc w:val="center"/>
        </w:trPr>
        <w:tc>
          <w:tcPr>
            <w:tcW w:w="9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2100201</w:t>
            </w:r>
          </w:p>
        </w:tc>
        <w:tc>
          <w:tcPr>
            <w:tcW w:w="23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综合医院</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13,797.31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157.56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660.23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11,853.17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1,126.35</w:t>
            </w:r>
          </w:p>
        </w:tc>
      </w:tr>
      <w:tr>
        <w:tblPrEx>
          <w:tblCellMar>
            <w:top w:w="0" w:type="dxa"/>
            <w:left w:w="108" w:type="dxa"/>
            <w:bottom w:w="0" w:type="dxa"/>
            <w:right w:w="108" w:type="dxa"/>
          </w:tblCellMar>
        </w:tblPrEx>
        <w:trPr>
          <w:trHeight w:val="288" w:hRule="atLeast"/>
          <w:jc w:val="center"/>
        </w:trPr>
        <w:tc>
          <w:tcPr>
            <w:tcW w:w="9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2100299</w:t>
            </w:r>
          </w:p>
        </w:tc>
        <w:tc>
          <w:tcPr>
            <w:tcW w:w="236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43.59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43.59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21004</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公共卫生</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2100408</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21099</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其他卫生健康支出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321.42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321.42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2109901</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321.42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321.42</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234</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抗疫特别国债安排的支出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23401</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基础设施建设</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2340102</w:t>
            </w:r>
          </w:p>
        </w:tc>
        <w:tc>
          <w:tcPr>
            <w:tcW w:w="2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重大疫情防控救治体系建设</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bl>
    <w:p/>
    <w:p>
      <w:r>
        <w:rPr>
          <w:rFonts w:hint="eastAsia"/>
        </w:rPr>
        <w:t>注：本表反映部门本年度取得的各项收入情况。</w:t>
      </w:r>
    </w:p>
    <w:p/>
    <w:p/>
    <w:p/>
    <w:p/>
    <w:p/>
    <w:p/>
    <w:p/>
    <w:p/>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7"/>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16,615.74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15,086.71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1,529.03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208</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20805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2080502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51.00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15,414.74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15,035.71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379.03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公立医院</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15,035.71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15,035.71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2100201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综合医院</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14,992.12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14,992.12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2100299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43.59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43.59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公共卫生</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2100408</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3.95</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3.95</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21099</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其他卫生健康支出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375.08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375.08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2109901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375.08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375.08</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234</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抗疫特别国债安排的支出</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23401</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基础设施建设</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2340102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重大疫情防控救治体系建设</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1,150.00</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4"/>
                <w:szCs w:val="24"/>
                <w:u w:val="none"/>
                <w:lang w:val="en-US" w:eastAsia="zh-CN" w:bidi="ar"/>
              </w:rPr>
              <w:t>0.00</w:t>
            </w:r>
          </w:p>
        </w:tc>
      </w:tr>
    </w:tbl>
    <w:p/>
    <w:p>
      <w:r>
        <w:rPr>
          <w:rFonts w:hint="eastAsia"/>
        </w:rPr>
        <w:t>注：本表反映部门本年度各项支出情况。</w:t>
      </w:r>
    </w:p>
    <w:p/>
    <w:p/>
    <w:p/>
    <w:p/>
    <w:p/>
    <w:p/>
    <w:p/>
    <w:p/>
    <w:p/>
    <w:p/>
    <w:p/>
    <w:p/>
    <w:p/>
    <w:p/>
    <w:p/>
    <w:p/>
    <w:p/>
    <w:p/>
    <w:p>
      <w:pPr>
        <w:ind w:firstLine="3600" w:firstLineChars="1000"/>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p/>
    <w:tbl>
      <w:tblPr>
        <w:tblStyle w:val="7"/>
        <w:tblW w:w="13919" w:type="dxa"/>
        <w:tblInd w:w="0" w:type="dxa"/>
        <w:shd w:val="clear" w:color="auto" w:fill="auto"/>
        <w:tblLayout w:type="fixed"/>
        <w:tblCellMar>
          <w:top w:w="0" w:type="dxa"/>
          <w:left w:w="0" w:type="dxa"/>
          <w:bottom w:w="0" w:type="dxa"/>
          <w:right w:w="0" w:type="dxa"/>
        </w:tblCellMar>
      </w:tblPr>
      <w:tblGrid>
        <w:gridCol w:w="2868"/>
        <w:gridCol w:w="475"/>
        <w:gridCol w:w="1197"/>
        <w:gridCol w:w="2743"/>
        <w:gridCol w:w="597"/>
        <w:gridCol w:w="1239"/>
        <w:gridCol w:w="1443"/>
        <w:gridCol w:w="1578"/>
        <w:gridCol w:w="1779"/>
      </w:tblGrid>
      <w:tr>
        <w:tblPrEx>
          <w:tblCellMar>
            <w:top w:w="0" w:type="dxa"/>
            <w:left w:w="0" w:type="dxa"/>
            <w:bottom w:w="0" w:type="dxa"/>
            <w:right w:w="0" w:type="dxa"/>
          </w:tblCellMar>
        </w:tblPrEx>
        <w:trPr>
          <w:trHeight w:val="379" w:hRule="atLeast"/>
        </w:trPr>
        <w:tc>
          <w:tcPr>
            <w:tcW w:w="45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37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trPr>
        <w:tc>
          <w:tcPr>
            <w:tcW w:w="28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7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3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5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7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630" w:hRule="atLeast"/>
        </w:trPr>
        <w:tc>
          <w:tcPr>
            <w:tcW w:w="28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79"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574.58</w:t>
            </w:r>
          </w:p>
        </w:tc>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一、社会保障和就业支出</w:t>
            </w: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79"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1,150.00</w:t>
            </w:r>
          </w:p>
        </w:tc>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二、卫生健康支出</w:t>
            </w: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580.18</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580.18</w:t>
            </w: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78"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三、抗疫特别国债安排的支出</w:t>
            </w: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1,150.00</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1,150.00</w:t>
            </w: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79"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1,724.58</w:t>
            </w:r>
          </w:p>
        </w:tc>
        <w:tc>
          <w:tcPr>
            <w:tcW w:w="2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1,781.18</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631.18</w:t>
            </w: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1,150.00</w:t>
            </w: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79"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61.02</w:t>
            </w:r>
          </w:p>
        </w:tc>
        <w:tc>
          <w:tcPr>
            <w:tcW w:w="2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79"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61.02</w:t>
            </w:r>
          </w:p>
        </w:tc>
        <w:tc>
          <w:tcPr>
            <w:tcW w:w="2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8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9" w:hRule="atLeast"/>
        </w:trPr>
        <w:tc>
          <w:tcPr>
            <w:tcW w:w="2868"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7"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43"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3"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8"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7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9" w:hRule="atLeast"/>
        </w:trPr>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1,785.60</w:t>
            </w:r>
          </w:p>
        </w:tc>
        <w:tc>
          <w:tcPr>
            <w:tcW w:w="2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1,785.60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635.60</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1,150.00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r>
        <w:rPr>
          <w:rFonts w:hint="eastAsia"/>
        </w:rPr>
        <w:t>注：本表反映部门本年度一般公共预算财政拨款和政府性基金预算财政拨款的总收支和年末结转结余情况。</w:t>
      </w: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w:t>
      </w:r>
      <w:r>
        <w:rPr>
          <w:rFonts w:hint="eastAsia" w:ascii="方正小标宋简体" w:hAnsi="宋体" w:eastAsia="方正小标宋简体" w:cs="宋体"/>
          <w:kern w:val="0"/>
          <w:sz w:val="36"/>
          <w:szCs w:val="36"/>
          <w:lang w:val="en-US" w:eastAsia="zh-CN"/>
        </w:rPr>
        <w:t>收入</w:t>
      </w:r>
      <w:r>
        <w:rPr>
          <w:rFonts w:hint="eastAsia" w:ascii="方正小标宋简体" w:hAnsi="宋体" w:eastAsia="方正小标宋简体" w:cs="宋体"/>
          <w:kern w:val="0"/>
          <w:sz w:val="36"/>
          <w:szCs w:val="36"/>
        </w:rPr>
        <w:t>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7"/>
        <w:tblpPr w:leftFromText="180" w:rightFromText="180" w:vertAnchor="text" w:horzAnchor="page" w:tblpX="1416" w:tblpY="603"/>
        <w:tblOverlap w:val="never"/>
        <w:tblW w:w="14428" w:type="dxa"/>
        <w:tblInd w:w="0" w:type="dxa"/>
        <w:shd w:val="clear" w:color="auto" w:fill="auto"/>
        <w:tblLayout w:type="fixed"/>
        <w:tblCellMar>
          <w:top w:w="0" w:type="dxa"/>
          <w:left w:w="0" w:type="dxa"/>
          <w:bottom w:w="0" w:type="dxa"/>
          <w:right w:w="0" w:type="dxa"/>
        </w:tblCellMar>
      </w:tblPr>
      <w:tblGrid>
        <w:gridCol w:w="564"/>
        <w:gridCol w:w="564"/>
        <w:gridCol w:w="566"/>
        <w:gridCol w:w="1970"/>
        <w:gridCol w:w="828"/>
        <w:gridCol w:w="828"/>
        <w:gridCol w:w="828"/>
        <w:gridCol w:w="828"/>
        <w:gridCol w:w="828"/>
        <w:gridCol w:w="828"/>
        <w:gridCol w:w="828"/>
        <w:gridCol w:w="828"/>
        <w:gridCol w:w="828"/>
        <w:gridCol w:w="828"/>
        <w:gridCol w:w="828"/>
        <w:gridCol w:w="828"/>
        <w:gridCol w:w="828"/>
      </w:tblGrid>
      <w:tr>
        <w:tblPrEx>
          <w:shd w:val="clear" w:color="auto" w:fill="auto"/>
          <w:tblCellMar>
            <w:top w:w="0" w:type="dxa"/>
            <w:left w:w="0" w:type="dxa"/>
            <w:bottom w:w="0" w:type="dxa"/>
            <w:right w:w="0" w:type="dxa"/>
          </w:tblCellMar>
        </w:tblPrEx>
        <w:trPr>
          <w:trHeight w:val="600" w:hRule="atLeast"/>
        </w:trPr>
        <w:tc>
          <w:tcPr>
            <w:tcW w:w="13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科目编码</w:t>
            </w:r>
          </w:p>
        </w:tc>
        <w:tc>
          <w:tcPr>
            <w:tcW w:w="161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6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6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8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68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shd w:val="clear" w:color="auto" w:fill="auto"/>
          <w:tblCellMar>
            <w:top w:w="0" w:type="dxa"/>
            <w:left w:w="0" w:type="dxa"/>
            <w:bottom w:w="0" w:type="dxa"/>
            <w:right w:w="0" w:type="dxa"/>
          </w:tblCellMar>
        </w:tblPrEx>
        <w:trPr>
          <w:trHeight w:val="600" w:hRule="atLeast"/>
        </w:trPr>
        <w:tc>
          <w:tcPr>
            <w:tcW w:w="1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基本支出结转</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项目支出结转和结余</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基本支出结转</w:t>
            </w:r>
          </w:p>
        </w:tc>
        <w:tc>
          <w:tcPr>
            <w:tcW w:w="6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389" w:hRule="atLeast"/>
        </w:trPr>
        <w:tc>
          <w:tcPr>
            <w:tcW w:w="1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项目支出结转</w:t>
            </w:r>
          </w:p>
        </w:tc>
        <w:tc>
          <w:tcPr>
            <w:tcW w:w="68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项目支出结余</w:t>
            </w:r>
          </w:p>
        </w:tc>
      </w:tr>
      <w:tr>
        <w:tblPrEx>
          <w:shd w:val="clear" w:color="auto" w:fill="auto"/>
          <w:tblCellMar>
            <w:top w:w="0" w:type="dxa"/>
            <w:left w:w="0" w:type="dxa"/>
            <w:bottom w:w="0" w:type="dxa"/>
            <w:right w:w="0" w:type="dxa"/>
          </w:tblCellMar>
        </w:tblPrEx>
        <w:trPr>
          <w:trHeight w:val="390" w:hRule="atLeast"/>
        </w:trPr>
        <w:tc>
          <w:tcPr>
            <w:tcW w:w="46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shd w:val="clear" w:color="auto" w:fill="auto"/>
          <w:tblCellMar>
            <w:top w:w="0" w:type="dxa"/>
            <w:left w:w="0" w:type="dxa"/>
            <w:bottom w:w="0" w:type="dxa"/>
            <w:right w:w="0" w:type="dxa"/>
          </w:tblCellMar>
        </w:tblPrEx>
        <w:trPr>
          <w:trHeight w:val="390" w:hRule="atLeast"/>
        </w:trPr>
        <w:tc>
          <w:tcPr>
            <w:tcW w:w="46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574.58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631.18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379.03</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523.58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580.18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379.03</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157.56</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157.56</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157.56</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157.56</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16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55.15</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321.42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321.42</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375.08</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68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80" w:hRule="atLeast"/>
        </w:trPr>
        <w:tc>
          <w:tcPr>
            <w:tcW w:w="1393" w:type="dxa"/>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161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55.15</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55.15</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321.42</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321.42</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375.08</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375.08</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8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6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注：本表反映部门本年度一般公共预算财政拨款收入支出及结转和结余情况。</w:t>
      </w:r>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tbl>
      <w:tblPr>
        <w:tblStyle w:val="7"/>
        <w:tblW w:w="9720" w:type="dxa"/>
        <w:tblInd w:w="0" w:type="dxa"/>
        <w:shd w:val="clear" w:color="auto" w:fill="auto"/>
        <w:tblLayout w:type="autofit"/>
        <w:tblCellMar>
          <w:top w:w="0" w:type="dxa"/>
          <w:left w:w="0" w:type="dxa"/>
          <w:bottom w:w="0" w:type="dxa"/>
          <w:right w:w="0" w:type="dxa"/>
        </w:tblCellMar>
      </w:tblPr>
      <w:tblGrid>
        <w:gridCol w:w="530"/>
        <w:gridCol w:w="3030"/>
        <w:gridCol w:w="630"/>
        <w:gridCol w:w="530"/>
        <w:gridCol w:w="2030"/>
        <w:gridCol w:w="530"/>
        <w:gridCol w:w="530"/>
        <w:gridCol w:w="3830"/>
        <w:gridCol w:w="530"/>
      </w:tblGrid>
      <w:tr>
        <w:tblPrEx>
          <w:shd w:val="clear" w:color="auto" w:fill="auto"/>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202.74</w:t>
            </w:r>
          </w:p>
        </w:tc>
        <w:tc>
          <w:tcPr>
            <w:tcW w:w="0" w:type="auto"/>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49.41</w:t>
            </w:r>
          </w:p>
        </w:tc>
      </w:tr>
    </w:tbl>
    <w:p/>
    <w:p>
      <w:pPr>
        <w:sectPr>
          <w:pgSz w:w="16838" w:h="11906" w:orient="landscape"/>
          <w:pgMar w:top="1377" w:right="1440" w:bottom="1797" w:left="1440"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7"/>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tc>
        <w:tc>
          <w:tcPr>
            <w:tcW w:w="828"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
          </w:p>
        </w:tc>
        <w:tc>
          <w:tcPr>
            <w:tcW w:w="121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tc>
        <w:tc>
          <w:tcPr>
            <w:tcW w:w="1560"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p>
        </w:tc>
        <w:tc>
          <w:tcPr>
            <w:tcW w:w="1398" w:type="dxa"/>
            <w:tcBorders>
              <w:top w:val="nil"/>
              <w:left w:val="nil"/>
              <w:bottom w:val="single" w:color="auto" w:sz="4" w:space="0"/>
              <w:right w:val="single" w:color="auto" w:sz="4" w:space="0"/>
            </w:tcBorders>
          </w:tcPr>
          <w:p>
            <w:pPr>
              <w:widowControl/>
              <w:ind w:firstLine="400" w:firstLineChars="200"/>
              <w:jc w:val="center"/>
              <w:rPr>
                <w:rFonts w:hint="eastAsia" w:ascii="Arial" w:hAnsi="Arial" w:eastAsia="宋体" w:cs="Arial"/>
                <w:color w:val="000000"/>
                <w:kern w:val="0"/>
                <w:sz w:val="20"/>
                <w:szCs w:val="20"/>
                <w:lang w:val="en-US" w:eastAsia="zh-CN"/>
              </w:rPr>
            </w:pP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118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p>
        </w:tc>
      </w:tr>
    </w:tbl>
    <w:p>
      <w:pPr>
        <w:rPr>
          <w:rFonts w:hint="default" w:eastAsia="宋体"/>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r>
        <w:rPr>
          <w:rFonts w:hint="eastAsia"/>
          <w:lang w:val="en-US" w:eastAsia="zh-CN"/>
        </w:rPr>
        <w:t>柳州市红十字会医院没有一般公共预算财政拨款安排的“三公”经费收入，也没有安排的“三公”经费支出，故本表无数据。</w:t>
      </w:r>
    </w:p>
    <w:tbl>
      <w:tblPr>
        <w:tblStyle w:val="7"/>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234</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抗疫特别国债安排的支出</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23401</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基础设施建设</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2340102</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 xml:space="preserve">  重大疫情防控救治体系建设</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1,150.00</w:t>
            </w:r>
          </w:p>
        </w:tc>
        <w:tc>
          <w:tcPr>
            <w:tcW w:w="10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注：本表反映部门本年度政府性基金预算财政拨款收入支出及结转和结余情况。</w:t>
      </w:r>
    </w:p>
    <w:tbl>
      <w:tblPr>
        <w:tblStyle w:val="7"/>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1"/>
                <w:highlight w:val="none"/>
                <w:lang w:val="en-US" w:eastAsia="zh-CN" w:bidi="ar"/>
              </w:rPr>
              <w:t xml:space="preserve">   </w:t>
            </w:r>
            <w:r>
              <w:rPr>
                <w:rStyle w:val="12"/>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lang w:val="en-US" w:eastAsia="zh-CN"/>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lang w:val="en-US" w:eastAsia="zh-CN"/>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r>
              <w:rPr>
                <w:rFonts w:hint="eastAsia"/>
                <w:lang w:val="en-US" w:eastAsia="zh-CN"/>
              </w:rPr>
              <w:t>柳州市红十字会医院没有国有资本经营预算财政拨款收入，也没有安排的国有资本经营预算财政拨款支出，故本表无数据。</w:t>
            </w: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val="en-US" w:eastAsia="zh-CN"/>
        </w:rPr>
        <w:t>柳州市红十字会医院</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15364.32</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16615.74</w:t>
      </w:r>
      <w:r>
        <w:rPr>
          <w:rFonts w:hint="eastAsia" w:ascii="仿宋_GB2312" w:eastAsia="仿宋_GB2312" w:cs="仿宋_GB2312"/>
          <w:bCs/>
          <w:kern w:val="0"/>
          <w:sz w:val="32"/>
          <w:szCs w:val="32"/>
        </w:rPr>
        <w:t>万元，与2019年相比，收</w:t>
      </w:r>
      <w:r>
        <w:rPr>
          <w:rFonts w:hint="eastAsia" w:ascii="仿宋_GB2312" w:eastAsia="仿宋_GB2312" w:cs="仿宋_GB2312"/>
          <w:bCs/>
          <w:kern w:val="0"/>
          <w:sz w:val="32"/>
          <w:szCs w:val="32"/>
          <w:lang w:val="en-US" w:eastAsia="zh-CN"/>
        </w:rPr>
        <w:t>入</w:t>
      </w:r>
      <w:r>
        <w:rPr>
          <w:rFonts w:hint="eastAsia" w:ascii="仿宋_GB2312" w:eastAsia="仿宋_GB2312" w:cs="仿宋_GB2312"/>
          <w:bCs/>
          <w:kern w:val="0"/>
          <w:sz w:val="32"/>
          <w:szCs w:val="32"/>
        </w:rPr>
        <w:t>增加</w:t>
      </w:r>
      <w:r>
        <w:rPr>
          <w:rFonts w:hint="eastAsia" w:ascii="仿宋_GB2312" w:eastAsia="仿宋_GB2312" w:cs="仿宋_GB2312"/>
          <w:bCs/>
          <w:kern w:val="0"/>
          <w:sz w:val="32"/>
          <w:szCs w:val="32"/>
          <w:lang w:val="en-US" w:eastAsia="zh-CN"/>
        </w:rPr>
        <w:t>2042.20万元，增幅15.33%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支出增加4148.39万元，增幅33.27%。</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15364.32</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574.58</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3.74%</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1150.00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7.48%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国有资本经营预算财政拨款收入0万元，占比0%；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660.23</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4.30%</w:t>
      </w:r>
      <w:r>
        <w:rPr>
          <w:rFonts w:hint="eastAsia" w:ascii="仿宋_GB2312" w:eastAsia="仿宋_GB2312" w:cs="仿宋_GB2312"/>
          <w:bCs/>
          <w:kern w:val="0"/>
          <w:sz w:val="32"/>
          <w:szCs w:val="32"/>
        </w:rPr>
        <w:t>；事业收入</w:t>
      </w:r>
      <w:r>
        <w:rPr>
          <w:rFonts w:hint="eastAsia" w:ascii="仿宋_GB2312" w:eastAsia="仿宋_GB2312" w:cs="仿宋_GB2312"/>
          <w:bCs/>
          <w:kern w:val="0"/>
          <w:sz w:val="32"/>
          <w:szCs w:val="32"/>
          <w:lang w:val="en-US" w:eastAsia="zh-CN"/>
        </w:rPr>
        <w:t>11853.17</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77.15%</w:t>
      </w:r>
      <w:r>
        <w:rPr>
          <w:rFonts w:hint="eastAsia" w:ascii="仿宋_GB2312" w:eastAsia="仿宋_GB2312" w:cs="仿宋_GB2312"/>
          <w:bCs/>
          <w:kern w:val="0"/>
          <w:sz w:val="32"/>
          <w:szCs w:val="32"/>
        </w:rPr>
        <w:t>；事业单位经营收入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附属单位上缴收入0万元，占比0%；</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1126.35</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7.33%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16615.74</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15086.71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90.80</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1529.03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9.20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w:t>
      </w:r>
      <w:r>
        <w:rPr>
          <w:rFonts w:hint="eastAsia" w:ascii="仿宋_GB2312" w:eastAsia="仿宋_GB2312" w:cs="仿宋_GB2312"/>
          <w:bCs/>
          <w:kern w:val="0"/>
          <w:sz w:val="32"/>
          <w:szCs w:val="32"/>
          <w:lang w:val="en-US" w:eastAsia="zh-CN"/>
        </w:rPr>
        <w:t>入</w:t>
      </w:r>
      <w:r>
        <w:rPr>
          <w:rFonts w:hint="eastAsia" w:ascii="仿宋_GB2312" w:eastAsia="仿宋_GB2312" w:cs="仿宋_GB2312"/>
          <w:bCs/>
          <w:kern w:val="0"/>
          <w:sz w:val="32"/>
          <w:szCs w:val="32"/>
        </w:rPr>
        <w:t>总决算</w:t>
      </w:r>
      <w:r>
        <w:rPr>
          <w:rFonts w:hint="eastAsia" w:ascii="仿宋_GB2312" w:eastAsia="仿宋_GB2312" w:cs="仿宋_GB2312"/>
          <w:bCs/>
          <w:kern w:val="0"/>
          <w:sz w:val="32"/>
          <w:szCs w:val="32"/>
          <w:lang w:val="en-US" w:eastAsia="zh-CN"/>
        </w:rPr>
        <w:t>1724.58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支出总决算1781.18</w:t>
      </w:r>
      <w:r>
        <w:rPr>
          <w:rFonts w:hint="eastAsia" w:ascii="仿宋_GB2312" w:eastAsia="仿宋_GB2312" w:cs="仿宋_GB2312"/>
          <w:bCs/>
          <w:kern w:val="0"/>
          <w:sz w:val="32"/>
          <w:szCs w:val="32"/>
        </w:rPr>
        <w:t>万元。与2019年相比，财政拨款收</w:t>
      </w:r>
      <w:r>
        <w:rPr>
          <w:rFonts w:hint="eastAsia" w:ascii="仿宋_GB2312" w:eastAsia="仿宋_GB2312" w:cs="仿宋_GB2312"/>
          <w:bCs/>
          <w:kern w:val="0"/>
          <w:sz w:val="32"/>
          <w:szCs w:val="32"/>
          <w:lang w:val="en-US" w:eastAsia="zh-CN"/>
        </w:rPr>
        <w:t>入</w:t>
      </w:r>
      <w:r>
        <w:rPr>
          <w:rFonts w:hint="eastAsia" w:ascii="仿宋_GB2312" w:eastAsia="仿宋_GB2312" w:cs="仿宋_GB2312"/>
          <w:bCs/>
          <w:kern w:val="0"/>
          <w:sz w:val="32"/>
          <w:szCs w:val="32"/>
        </w:rPr>
        <w:t>总计增加</w:t>
      </w:r>
      <w:r>
        <w:rPr>
          <w:rFonts w:hint="eastAsia" w:ascii="仿宋_GB2312" w:eastAsia="仿宋_GB2312" w:cs="仿宋_GB2312"/>
          <w:bCs/>
          <w:kern w:val="0"/>
          <w:sz w:val="32"/>
          <w:szCs w:val="32"/>
          <w:lang w:val="en-US" w:eastAsia="zh-CN"/>
        </w:rPr>
        <w:t>1036.10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150.49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财政拨款支出总计增加1142.13万元，增长178.72%</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 xml:space="preserve">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财政拨款支出</w:t>
      </w:r>
      <w:r>
        <w:rPr>
          <w:rFonts w:hint="eastAsia" w:ascii="仿宋_GB2312" w:eastAsia="仿宋_GB2312" w:cs="仿宋_GB2312"/>
          <w:bCs/>
          <w:kern w:val="0"/>
          <w:sz w:val="32"/>
          <w:szCs w:val="32"/>
          <w:lang w:val="en-US" w:eastAsia="zh-CN"/>
        </w:rPr>
        <w:t>631.18万元</w:t>
      </w:r>
      <w:r>
        <w:rPr>
          <w:rFonts w:hint="eastAsia" w:ascii="仿宋_GB2312" w:eastAsia="仿宋_GB2312" w:cs="仿宋_GB2312"/>
          <w:bCs/>
          <w:kern w:val="0"/>
          <w:sz w:val="32"/>
          <w:szCs w:val="32"/>
        </w:rPr>
        <w:t>，占本年支出合计的</w:t>
      </w:r>
      <w:r>
        <w:rPr>
          <w:rFonts w:hint="eastAsia" w:ascii="仿宋_GB2312" w:eastAsia="仿宋_GB2312" w:cs="仿宋_GB2312"/>
          <w:bCs/>
          <w:kern w:val="0"/>
          <w:sz w:val="32"/>
          <w:szCs w:val="32"/>
          <w:lang w:val="en-US" w:eastAsia="zh-CN"/>
        </w:rPr>
        <w:t>3.80</w:t>
      </w:r>
      <w:r>
        <w:rPr>
          <w:rFonts w:hint="eastAsia" w:ascii="仿宋_GB2312" w:eastAsia="仿宋_GB2312" w:cs="仿宋_GB2312"/>
          <w:bCs/>
          <w:kern w:val="0"/>
          <w:sz w:val="32"/>
          <w:szCs w:val="32"/>
        </w:rPr>
        <w:t>%。与2019年相比，</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财政拨款支出</w:t>
      </w:r>
      <w:r>
        <w:rPr>
          <w:rFonts w:hint="eastAsia" w:ascii="仿宋_GB2312" w:eastAsia="仿宋_GB2312" w:cs="仿宋_GB2312"/>
          <w:bCs/>
          <w:kern w:val="0"/>
          <w:sz w:val="32"/>
          <w:szCs w:val="32"/>
          <w:lang w:val="en-US" w:eastAsia="zh-CN"/>
        </w:rPr>
        <w:t>减少7.87</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1.23</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 xml:space="preserve">财政拨款支出 </w:t>
      </w:r>
      <w:r>
        <w:rPr>
          <w:rFonts w:hint="eastAsia" w:ascii="仿宋_GB2312" w:eastAsia="仿宋_GB2312" w:cs="仿宋_GB2312"/>
          <w:bCs/>
          <w:kern w:val="0"/>
          <w:sz w:val="32"/>
          <w:szCs w:val="32"/>
          <w:lang w:val="en-US" w:eastAsia="zh-CN"/>
        </w:rPr>
        <w:t>631.18</w:t>
      </w:r>
      <w:r>
        <w:rPr>
          <w:rFonts w:hint="eastAsia" w:ascii="仿宋_GB2312" w:eastAsia="仿宋_GB2312" w:cs="仿宋_GB2312"/>
          <w:bCs/>
          <w:kern w:val="0"/>
          <w:sz w:val="32"/>
          <w:szCs w:val="32"/>
        </w:rPr>
        <w:t>万元，主要用于以下方面：社会保障和就业支出</w:t>
      </w:r>
      <w:r>
        <w:rPr>
          <w:rFonts w:hint="eastAsia" w:ascii="仿宋_GB2312" w:eastAsia="仿宋_GB2312" w:cs="仿宋_GB2312"/>
          <w:bCs/>
          <w:kern w:val="0"/>
          <w:sz w:val="32"/>
          <w:szCs w:val="32"/>
          <w:lang w:val="en-US" w:eastAsia="zh-CN"/>
        </w:rPr>
        <w:t>51.00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8.08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卫生健康支出580.18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91.92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76.36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631.18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826.58</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事业单位离退休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公立医院</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综合医院</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公立医院</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其他公立医院支出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公共卫生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基本公共卫生服务</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二是部分支出按规定，通过使用以前年度财政拨款结转资金解决。其中：</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公共卫生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基本公共卫生服务</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val="en-US" w:eastAsia="zh-CN"/>
        </w:rPr>
        <w:t>动用上年结转资金2.99万元，卫生健康支出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val="en-US" w:eastAsia="zh-CN"/>
        </w:rPr>
        <w:t>53.66万元。</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事业单位离退休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51.00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超额</w:t>
      </w:r>
      <w:r>
        <w:rPr>
          <w:rFonts w:hint="eastAsia" w:ascii="仿宋_GB2312" w:eastAsia="仿宋_GB2312" w:cs="仿宋_GB2312"/>
          <w:bCs/>
          <w:kern w:val="0"/>
          <w:sz w:val="32"/>
          <w:szCs w:val="32"/>
        </w:rPr>
        <w:t>完成年初预算。决算数大于预算数的主要原因是</w:t>
      </w:r>
      <w:r>
        <w:rPr>
          <w:rFonts w:hint="eastAsia" w:ascii="仿宋_GB2312" w:eastAsia="仿宋_GB2312" w:cs="仿宋_GB2312"/>
          <w:bCs/>
          <w:kern w:val="0"/>
          <w:sz w:val="32"/>
          <w:szCs w:val="32"/>
          <w:lang w:val="en-US" w:eastAsia="zh-CN"/>
        </w:rPr>
        <w:t>年中收到本级追加预算51.00万元。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公立医院</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综合医院</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76.36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157.56</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数的206.34%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年中收到本级追加预算107.23万元</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公立医院</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其他公立医院支出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43.59</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超额</w:t>
      </w:r>
      <w:r>
        <w:rPr>
          <w:rFonts w:hint="eastAsia" w:ascii="仿宋_GB2312" w:eastAsia="仿宋_GB2312" w:cs="仿宋_GB2312"/>
          <w:bCs/>
          <w:kern w:val="0"/>
          <w:sz w:val="32"/>
          <w:szCs w:val="32"/>
        </w:rPr>
        <w:t>完成年初预算。决算数</w:t>
      </w:r>
      <w:r>
        <w:rPr>
          <w:rFonts w:hint="eastAsia" w:ascii="仿宋_GB2312" w:eastAsia="仿宋_GB2312" w:cs="仿宋_GB2312"/>
          <w:bCs/>
          <w:kern w:val="0"/>
          <w:sz w:val="32"/>
          <w:szCs w:val="32"/>
          <w:lang w:val="en-US"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val="en-US" w:eastAsia="zh-CN"/>
        </w:rPr>
        <w:t>年中收到本级追加预算43.59万元</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公共卫生</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基本公共卫生服务</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3.95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超额</w:t>
      </w:r>
      <w:r>
        <w:rPr>
          <w:rFonts w:hint="eastAsia" w:ascii="仿宋_GB2312" w:eastAsia="仿宋_GB2312" w:cs="仿宋_GB2312"/>
          <w:bCs/>
          <w:kern w:val="0"/>
          <w:sz w:val="32"/>
          <w:szCs w:val="32"/>
        </w:rPr>
        <w:t>完成年初预算。决算数</w:t>
      </w:r>
      <w:r>
        <w:rPr>
          <w:rFonts w:hint="eastAsia" w:ascii="仿宋_GB2312" w:eastAsia="仿宋_GB2312" w:cs="仿宋_GB2312"/>
          <w:bCs/>
          <w:kern w:val="0"/>
          <w:sz w:val="32"/>
          <w:szCs w:val="32"/>
          <w:lang w:val="en-US"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年中收到本级追加预算:1.00万元；（2）动用上年结转资金2.99万元</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321.42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超额</w:t>
      </w:r>
      <w:r>
        <w:rPr>
          <w:rFonts w:hint="eastAsia" w:ascii="仿宋_GB2312" w:eastAsia="仿宋_GB2312" w:cs="仿宋_GB2312"/>
          <w:bCs/>
          <w:kern w:val="0"/>
          <w:sz w:val="32"/>
          <w:szCs w:val="32"/>
        </w:rPr>
        <w:t>完成年初预算。决算数</w:t>
      </w:r>
      <w:r>
        <w:rPr>
          <w:rFonts w:hint="eastAsia" w:ascii="仿宋_GB2312" w:eastAsia="仿宋_GB2312" w:cs="仿宋_GB2312"/>
          <w:bCs/>
          <w:kern w:val="0"/>
          <w:sz w:val="32"/>
          <w:szCs w:val="32"/>
          <w:lang w:val="en-US" w:eastAsia="zh-CN"/>
        </w:rPr>
        <w:t>大</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年中收到本级追加预算:321.42万元；（2）动用上年结转资金53.66万元</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w:t>
      </w:r>
      <w:r>
        <w:rPr>
          <w:rFonts w:hint="eastAsia" w:ascii="仿宋_GB2312" w:eastAsia="仿宋_GB2312" w:cs="仿宋_GB2312"/>
          <w:bCs/>
          <w:kern w:val="0"/>
          <w:sz w:val="32"/>
          <w:szCs w:val="32"/>
          <w:lang w:val="en-US" w:eastAsia="zh-CN"/>
        </w:rPr>
        <w:t>一般公共预算</w:t>
      </w:r>
      <w:r>
        <w:rPr>
          <w:rFonts w:hint="eastAsia" w:ascii="仿宋_GB2312" w:eastAsia="仿宋_GB2312" w:cs="仿宋_GB2312"/>
          <w:bCs/>
          <w:kern w:val="0"/>
          <w:sz w:val="32"/>
          <w:szCs w:val="32"/>
        </w:rPr>
        <w:t>财政拨款基本支出</w:t>
      </w:r>
      <w:r>
        <w:rPr>
          <w:rFonts w:hint="eastAsia" w:ascii="仿宋_GB2312" w:eastAsia="仿宋_GB2312" w:cs="仿宋_GB2312"/>
          <w:bCs/>
          <w:kern w:val="0"/>
          <w:sz w:val="32"/>
          <w:szCs w:val="32"/>
          <w:lang w:val="en-US" w:eastAsia="zh-CN"/>
        </w:rPr>
        <w:t>252.15</w:t>
      </w:r>
      <w:r>
        <w:rPr>
          <w:rFonts w:hint="eastAsia" w:ascii="仿宋_GB2312" w:eastAsia="仿宋_GB2312" w:cs="仿宋_GB2312"/>
          <w:bCs/>
          <w:kern w:val="0"/>
          <w:sz w:val="32"/>
          <w:szCs w:val="32"/>
        </w:rPr>
        <w:t>万元，其中：人员经费</w:t>
      </w:r>
      <w:r>
        <w:rPr>
          <w:rFonts w:hint="eastAsia" w:ascii="仿宋_GB2312" w:eastAsia="仿宋_GB2312" w:cs="仿宋_GB2312"/>
          <w:bCs/>
          <w:kern w:val="0"/>
          <w:sz w:val="32"/>
          <w:szCs w:val="32"/>
          <w:lang w:val="en-US" w:eastAsia="zh-CN"/>
        </w:rPr>
        <w:t>202.74</w:t>
      </w:r>
      <w:r>
        <w:rPr>
          <w:rFonts w:hint="eastAsia" w:ascii="仿宋_GB2312" w:eastAsia="仿宋_GB2312" w:cs="仿宋_GB2312"/>
          <w:bCs/>
          <w:kern w:val="0"/>
          <w:sz w:val="32"/>
          <w:szCs w:val="32"/>
        </w:rPr>
        <w:t>万元，主要包括： 离休费、退休费、医疗费</w:t>
      </w:r>
      <w:r>
        <w:rPr>
          <w:rFonts w:hint="eastAsia" w:ascii="仿宋_GB2312" w:eastAsia="仿宋_GB2312" w:cs="仿宋_GB2312"/>
          <w:bCs/>
          <w:kern w:val="0"/>
          <w:sz w:val="32"/>
          <w:szCs w:val="32"/>
          <w:lang w:val="en-US" w:eastAsia="zh-CN"/>
        </w:rPr>
        <w:t>补助；</w:t>
      </w: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49.41</w:t>
      </w:r>
      <w:r>
        <w:rPr>
          <w:rFonts w:hint="eastAsia" w:ascii="仿宋_GB2312" w:eastAsia="仿宋_GB2312" w:cs="仿宋_GB2312"/>
          <w:bCs/>
          <w:kern w:val="0"/>
          <w:sz w:val="32"/>
          <w:szCs w:val="32"/>
        </w:rPr>
        <w:t>万元，主要包括：租赁费</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val="en-US" w:eastAsia="zh-CN"/>
        </w:rPr>
        <w:t>无变化</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w:t>
      </w:r>
      <w:r>
        <w:rPr>
          <w:rFonts w:hint="eastAsia" w:ascii="仿宋_GB2312" w:eastAsia="仿宋_GB2312" w:cs="仿宋_GB2312"/>
          <w:bCs/>
          <w:kern w:val="0"/>
          <w:sz w:val="32"/>
          <w:szCs w:val="32"/>
          <w:lang w:val="en-US" w:eastAsia="zh-CN"/>
        </w:rPr>
        <w:t>1150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1150</w:t>
      </w:r>
      <w:r>
        <w:rPr>
          <w:rFonts w:hint="eastAsia" w:ascii="仿宋_GB2312" w:eastAsia="仿宋_GB2312" w:cs="仿宋_GB2312"/>
          <w:bCs/>
          <w:kern w:val="0"/>
          <w:sz w:val="32"/>
          <w:szCs w:val="32"/>
        </w:rPr>
        <w:t>万元。与2019年相比，收、支总计各增加</w:t>
      </w:r>
      <w:r>
        <w:rPr>
          <w:rFonts w:hint="eastAsia" w:ascii="仿宋_GB2312" w:eastAsia="仿宋_GB2312" w:cs="仿宋_GB2312"/>
          <w:bCs/>
          <w:kern w:val="0"/>
          <w:sz w:val="32"/>
          <w:szCs w:val="32"/>
          <w:lang w:val="en-US" w:eastAsia="zh-CN"/>
        </w:rPr>
        <w:t>1150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%。其中，支出情况为：</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1150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超额</w:t>
      </w:r>
      <w:r>
        <w:rPr>
          <w:rFonts w:hint="eastAsia" w:ascii="仿宋_GB2312" w:eastAsia="仿宋_GB2312" w:cs="仿宋_GB2312"/>
          <w:bCs/>
          <w:kern w:val="0"/>
          <w:sz w:val="32"/>
          <w:szCs w:val="32"/>
        </w:rPr>
        <w:t>完成年初预算，决算大于预算数主要原因是年中追加安排财政拨款支出预算，涉及项目有</w:t>
      </w:r>
      <w:r>
        <w:rPr>
          <w:rFonts w:hint="eastAsia" w:ascii="仿宋_GB2312" w:eastAsia="仿宋_GB2312" w:cs="仿宋_GB2312"/>
          <w:bCs/>
          <w:kern w:val="0"/>
          <w:sz w:val="32"/>
          <w:szCs w:val="32"/>
          <w:lang w:val="en-US" w:eastAsia="zh-CN"/>
        </w:rPr>
        <w:t>234类02款01项重大疫情防控救治体系建设。</w:t>
      </w:r>
      <w:r>
        <w:rPr>
          <w:rFonts w:hint="eastAsia"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w:t>
      </w:r>
      <w:r>
        <w:rPr>
          <w:rFonts w:hint="eastAsia" w:ascii="仿宋_GB2312" w:eastAsia="仿宋_GB2312" w:cs="仿宋_GB2312"/>
          <w:bCs/>
          <w:kern w:val="0"/>
          <w:sz w:val="32"/>
          <w:szCs w:val="32"/>
          <w:lang w:val="en-US" w:eastAsia="zh-CN"/>
        </w:rPr>
        <w:t>抗疫特别国债安排的支出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基础设施建设</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重大疫情防控救治体系建设</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1150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超额</w:t>
      </w:r>
      <w:r>
        <w:rPr>
          <w:rFonts w:hint="eastAsia" w:ascii="仿宋_GB2312" w:eastAsia="仿宋_GB2312" w:cs="仿宋_GB2312"/>
          <w:bCs/>
          <w:kern w:val="0"/>
          <w:sz w:val="32"/>
          <w:szCs w:val="32"/>
        </w:rPr>
        <w:t>完成年初预算。决算大于预算数主要原因是年中追加安排财政拨款支出预算</w:t>
      </w:r>
      <w:r>
        <w:rPr>
          <w:rFonts w:hint="eastAsia" w:ascii="仿宋_GB2312" w:eastAsia="仿宋_GB2312" w:cs="仿宋_GB2312"/>
          <w:bCs/>
          <w:kern w:val="0"/>
          <w:sz w:val="32"/>
          <w:szCs w:val="32"/>
          <w:lang w:val="en-US" w:eastAsia="zh-CN"/>
        </w:rPr>
        <w:t>1150万元。</w:t>
      </w:r>
      <w:r>
        <w:rPr>
          <w:rFonts w:hint="eastAsia" w:ascii="仿宋_GB2312" w:eastAsia="仿宋_GB2312" w:cs="仿宋_GB2312"/>
          <w:bCs/>
          <w:kern w:val="0"/>
          <w:sz w:val="32"/>
          <w:szCs w:val="32"/>
        </w:rPr>
        <w:t xml:space="preserve"> </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无</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根据财政预算管理要求，我部门组织对2020年度一般公共预算项目支出</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政府性基金预算项目支出</w:t>
      </w:r>
      <w:r>
        <w:rPr>
          <w:rFonts w:hint="eastAsia" w:ascii="仿宋_GB2312" w:eastAsia="仿宋_GB2312" w:cs="仿宋_GB2312"/>
          <w:bCs/>
          <w:kern w:val="0"/>
          <w:sz w:val="32"/>
          <w:szCs w:val="32"/>
        </w:rPr>
        <w:t>开展绩效自评。其中，一级项目</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1156.35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w:t>
      </w:r>
      <w:r>
        <w:rPr>
          <w:rFonts w:hint="eastAsia" w:ascii="仿宋_GB2312" w:eastAsia="仿宋_GB2312" w:cs="仿宋_GB2312"/>
          <w:kern w:val="0"/>
          <w:sz w:val="32"/>
          <w:szCs w:val="32"/>
          <w:lang w:val="en-US" w:eastAsia="zh-CN"/>
        </w:rPr>
        <w:t>本级追加资金时</w:t>
      </w:r>
      <w:r>
        <w:rPr>
          <w:rFonts w:hint="eastAsia" w:ascii="仿宋_GB2312" w:eastAsia="仿宋_GB2312" w:cs="仿宋_GB2312"/>
          <w:kern w:val="0"/>
          <w:sz w:val="32"/>
          <w:szCs w:val="32"/>
        </w:rPr>
        <w:t>设定的绩效目标，</w:t>
      </w:r>
      <w:r>
        <w:rPr>
          <w:rFonts w:hint="eastAsia" w:ascii="仿宋_GB2312" w:eastAsia="仿宋_GB2312" w:cs="仿宋_GB2312"/>
          <w:kern w:val="0"/>
          <w:sz w:val="32"/>
          <w:szCs w:val="32"/>
          <w:lang w:val="en-US" w:eastAsia="zh-CN"/>
        </w:rPr>
        <w:t>市本级新冠肺炎疫情防控一线医务人员临时性工作补助</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93</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该项目资金使用均达到各项指标要求</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重大疫情防控救治体系建设</w:t>
      </w:r>
      <w:r>
        <w:rPr>
          <w:rFonts w:hint="eastAsia" w:ascii="仿宋_GB2312" w:eastAsia="仿宋_GB2312" w:cs="仿宋_GB2312"/>
          <w:kern w:val="0"/>
          <w:sz w:val="32"/>
          <w:szCs w:val="32"/>
        </w:rPr>
        <w:t>项目</w:t>
      </w:r>
      <w:r>
        <w:rPr>
          <w:rFonts w:hint="eastAsia" w:ascii="仿宋_GB2312" w:eastAsia="仿宋_GB2312" w:cs="仿宋_GB2312"/>
          <w:kern w:val="0"/>
          <w:sz w:val="32"/>
          <w:szCs w:val="32"/>
          <w:lang w:val="en-US" w:eastAsia="zh-CN"/>
        </w:rPr>
        <w:t>除时效指标为65%之外，其余指标均达到100%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该项目建设完成率65%，2020年已完成1部电梯更换，待新电梯运行稳定后，拟在2021年更换另一部旧电梯</w:t>
      </w:r>
      <w:r>
        <w:rPr>
          <w:rFonts w:hint="eastAsia" w:ascii="仿宋_GB2312" w:eastAsia="仿宋_GB2312" w:cs="仿宋_GB2312"/>
          <w:kern w:val="0"/>
          <w:sz w:val="32"/>
          <w:szCs w:val="32"/>
        </w:rPr>
        <w:t>。</w:t>
      </w:r>
    </w:p>
    <w:p>
      <w:pPr>
        <w:autoSpaceDE w:val="0"/>
        <w:autoSpaceDN w:val="0"/>
        <w:adjustRightInd w:val="0"/>
        <w:spacing w:line="580" w:lineRule="exact"/>
        <w:jc w:val="left"/>
        <w:rPr>
          <w:rFonts w:hint="eastAsia" w:ascii="仿宋_GB2312" w:eastAsia="仿宋_GB2312" w:cs="仿宋_GB2312"/>
          <w:kern w:val="0"/>
          <w:sz w:val="32"/>
          <w:szCs w:val="32"/>
          <w:lang w:eastAsia="zh-CN"/>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sectPr>
          <w:pgSz w:w="11906" w:h="16838"/>
          <w:pgMar w:top="1440" w:right="1797" w:bottom="1440" w:left="1797" w:header="851" w:footer="992" w:gutter="0"/>
          <w:pgNumType w:fmt="numberInDash"/>
          <w:cols w:space="720" w:num="1"/>
          <w:docGrid w:type="lines" w:linePitch="312" w:charSpace="0"/>
        </w:sectPr>
      </w:pPr>
    </w:p>
    <w:tbl>
      <w:tblPr>
        <w:tblStyle w:val="7"/>
        <w:tblW w:w="11880" w:type="dxa"/>
        <w:tblInd w:w="0" w:type="dxa"/>
        <w:shd w:val="clear" w:color="auto" w:fill="auto"/>
        <w:tblLayout w:type="autofit"/>
        <w:tblCellMar>
          <w:top w:w="0" w:type="dxa"/>
          <w:left w:w="0" w:type="dxa"/>
          <w:bottom w:w="0" w:type="dxa"/>
          <w:right w:w="0" w:type="dxa"/>
        </w:tblCellMar>
      </w:tblPr>
      <w:tblGrid>
        <w:gridCol w:w="1080"/>
        <w:gridCol w:w="1080"/>
        <w:gridCol w:w="1080"/>
        <w:gridCol w:w="2230"/>
        <w:gridCol w:w="1315"/>
        <w:gridCol w:w="1315"/>
        <w:gridCol w:w="1230"/>
        <w:gridCol w:w="1080"/>
        <w:gridCol w:w="1080"/>
        <w:gridCol w:w="1080"/>
        <w:gridCol w:w="1080"/>
      </w:tblGrid>
      <w:tr>
        <w:tblPrEx>
          <w:shd w:val="clear" w:color="auto" w:fill="auto"/>
          <w:tblCellMar>
            <w:top w:w="0" w:type="dxa"/>
            <w:left w:w="0" w:type="dxa"/>
            <w:bottom w:w="0" w:type="dxa"/>
            <w:right w:w="0" w:type="dxa"/>
          </w:tblCellMar>
        </w:tblPrEx>
        <w:trPr>
          <w:trHeight w:val="270" w:hRule="atLeast"/>
        </w:trPr>
        <w:tc>
          <w:tcPr>
            <w:tcW w:w="216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附件5：</w:t>
            </w: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5" w:hRule="atLeast"/>
        </w:trPr>
        <w:tc>
          <w:tcPr>
            <w:tcW w:w="1188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柳州市本级预算项目支出绩效自评表</w:t>
            </w:r>
          </w:p>
        </w:tc>
      </w:tr>
      <w:tr>
        <w:tblPrEx>
          <w:shd w:val="clear" w:color="auto" w:fill="auto"/>
          <w:tblCellMar>
            <w:top w:w="0" w:type="dxa"/>
            <w:left w:w="0" w:type="dxa"/>
            <w:bottom w:w="0" w:type="dxa"/>
            <w:right w:w="0" w:type="dxa"/>
          </w:tblCellMar>
        </w:tblPrEx>
        <w:trPr>
          <w:trHeight w:val="270" w:hRule="atLeast"/>
        </w:trPr>
        <w:tc>
          <w:tcPr>
            <w:tcW w:w="2160"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p>
        </w:tc>
        <w:tc>
          <w:tcPr>
            <w:tcW w:w="2160"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柳州市红十字会医院</w:t>
            </w: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市本级2020年度疫情防控补助项目</w:t>
            </w:r>
          </w:p>
        </w:tc>
      </w:tr>
      <w:tr>
        <w:tblPrEx>
          <w:shd w:val="clear" w:color="auto" w:fill="auto"/>
          <w:tblCellMar>
            <w:top w:w="0" w:type="dxa"/>
            <w:left w:w="0" w:type="dxa"/>
            <w:bottom w:w="0" w:type="dxa"/>
            <w:right w:w="0" w:type="dxa"/>
          </w:tblCellMar>
        </w:tblPrEx>
        <w:trPr>
          <w:trHeight w:val="2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柳州市卫生健康委员会</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项目实施单位及代码：</w:t>
            </w:r>
          </w:p>
        </w:tc>
      </w:tr>
      <w:tr>
        <w:tblPrEx>
          <w:shd w:val="clear" w:color="auto" w:fill="auto"/>
          <w:tblCellMar>
            <w:top w:w="0" w:type="dxa"/>
            <w:left w:w="0" w:type="dxa"/>
            <w:bottom w:w="0" w:type="dxa"/>
            <w:right w:w="0" w:type="dxa"/>
          </w:tblCellMar>
        </w:tblPrEx>
        <w:trPr>
          <w:trHeight w:val="450"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调整预算数（A）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预算资金执行率（B/A)</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得分计算方法</w:t>
            </w:r>
          </w:p>
        </w:tc>
      </w:tr>
      <w:tr>
        <w:tblPrEx>
          <w:shd w:val="clear" w:color="auto" w:fill="auto"/>
          <w:tblCellMar>
            <w:top w:w="0" w:type="dxa"/>
            <w:left w:w="0" w:type="dxa"/>
            <w:bottom w:w="0" w:type="dxa"/>
            <w:right w:w="0"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5"/>
                <w:lang w:val="en-US" w:eastAsia="zh-CN" w:bidi="ar"/>
              </w:rPr>
              <w:t>执行率×该指标分值，最高不得超过分值上限。</w:t>
            </w:r>
          </w:p>
        </w:tc>
      </w:tr>
      <w:tr>
        <w:tblPrEx>
          <w:shd w:val="clear" w:color="auto" w:fill="auto"/>
          <w:tblCellMar>
            <w:top w:w="0" w:type="dxa"/>
            <w:left w:w="0" w:type="dxa"/>
            <w:bottom w:w="0" w:type="dxa"/>
            <w:right w:w="0"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0"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1.发放疫情防控临时性工作补助   </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1.发放疫情防控临时性工作补助 6.35万元  </w:t>
            </w:r>
          </w:p>
        </w:tc>
      </w:tr>
      <w:tr>
        <w:tblPrEx>
          <w:shd w:val="clear" w:color="auto" w:fill="auto"/>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年度指标值(A)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全年实际值(B)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未完成原因分析</w:t>
            </w: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(50分)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发放疫情防控临时性工作补助人数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发放疫情防控临时性工作补助兑现率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2020年12月31日前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2020年12月31日前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2020年12月31日前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不超预算拨款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不超预算拨款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不超预算拨款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对参加疫情防治工作的医务人员给予临时性工作补贴 ，保障医务人员相关待遇。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为疫情防治医务人员发放临时性工作补助6.35万元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为参加疫情防治工作的医务人员发放临时性工作补贴6.35万元 ，保障医务人员相关待遇。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疫情防治医务人员满意度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绩效目标执行情况得分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绩效自评得分=项目资金执行情况得分+年度绩效指标得分</w:t>
            </w:r>
          </w:p>
        </w:tc>
      </w:tr>
      <w:tr>
        <w:tblPrEx>
          <w:shd w:val="clear" w:color="auto" w:fill="auto"/>
          <w:tblCellMar>
            <w:top w:w="0" w:type="dxa"/>
            <w:left w:w="0" w:type="dxa"/>
            <w:bottom w:w="0" w:type="dxa"/>
            <w:right w:w="0" w:type="dxa"/>
          </w:tblCellMar>
        </w:tblPrEx>
        <w:trPr>
          <w:trHeight w:val="27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绩效自评总分</w:t>
            </w:r>
          </w:p>
        </w:tc>
        <w:tc>
          <w:tcPr>
            <w:tcW w:w="0" w:type="auto"/>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其中：绩效目标执行情况得分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绩效目标评分</w:t>
            </w:r>
          </w:p>
        </w:tc>
        <w:tc>
          <w:tcPr>
            <w:tcW w:w="4320"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绩效自评总分= 绩效目标执行情况得分*70%+绩效目标评分*30%</w:t>
            </w:r>
          </w:p>
        </w:tc>
      </w:tr>
      <w:tr>
        <w:tblPrEx>
          <w:shd w:val="clear" w:color="auto" w:fill="auto"/>
          <w:tblCellMar>
            <w:top w:w="0" w:type="dxa"/>
            <w:left w:w="0" w:type="dxa"/>
            <w:bottom w:w="0" w:type="dxa"/>
            <w:right w:w="0" w:type="dxa"/>
          </w:tblCellMar>
        </w:tblPrEx>
        <w:trPr>
          <w:trHeight w:val="27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32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sectPr>
          <w:pgSz w:w="16838" w:h="11906" w:orient="landscape"/>
          <w:pgMar w:top="1797" w:right="1440" w:bottom="1797" w:left="1440" w:header="851" w:footer="992" w:gutter="0"/>
          <w:pgNumType w:fmt="numberInDash"/>
          <w:cols w:space="720" w:num="1"/>
          <w:docGrid w:type="lines" w:linePitch="312" w:charSpace="0"/>
        </w:sect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tbl>
      <w:tblPr>
        <w:tblStyle w:val="7"/>
        <w:tblpPr w:leftFromText="180" w:rightFromText="180" w:vertAnchor="text" w:tblpXSpec="center" w:tblpY="1"/>
        <w:tblOverlap w:val="never"/>
        <w:tblW w:w="9101" w:type="dxa"/>
        <w:jc w:val="center"/>
        <w:tblLayout w:type="autofit"/>
        <w:tblCellMar>
          <w:top w:w="0" w:type="dxa"/>
          <w:left w:w="108" w:type="dxa"/>
          <w:bottom w:w="0" w:type="dxa"/>
          <w:right w:w="108" w:type="dxa"/>
        </w:tblCellMar>
      </w:tblPr>
      <w:tblGrid>
        <w:gridCol w:w="616"/>
        <w:gridCol w:w="496"/>
        <w:gridCol w:w="2484"/>
        <w:gridCol w:w="3137"/>
        <w:gridCol w:w="845"/>
        <w:gridCol w:w="208"/>
        <w:gridCol w:w="208"/>
        <w:gridCol w:w="1107"/>
      </w:tblGrid>
      <w:tr>
        <w:tblPrEx>
          <w:tblCellMar>
            <w:top w:w="0" w:type="dxa"/>
            <w:left w:w="108" w:type="dxa"/>
            <w:bottom w:w="0" w:type="dxa"/>
            <w:right w:w="108" w:type="dxa"/>
          </w:tblCellMar>
        </w:tblPrEx>
        <w:trPr>
          <w:trHeight w:val="432" w:hRule="atLeast"/>
          <w:jc w:val="center"/>
        </w:trPr>
        <w:tc>
          <w:tcPr>
            <w:tcW w:w="9101" w:type="dxa"/>
            <w:gridSpan w:val="8"/>
            <w:tcBorders>
              <w:top w:val="nil"/>
              <w:left w:val="nil"/>
              <w:bottom w:val="single" w:color="auto" w:sz="4" w:space="0"/>
              <w:right w:val="nil"/>
            </w:tcBorders>
          </w:tcPr>
          <w:p>
            <w:pPr>
              <w:tabs>
                <w:tab w:val="center" w:pos="6559"/>
              </w:tabs>
              <w:spacing w:line="520" w:lineRule="exac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lang w:eastAsia="zh-CN"/>
              </w:rPr>
              <w:t>柳州市红十字会医院</w:t>
            </w:r>
            <w:r>
              <w:rPr>
                <w:rFonts w:hint="eastAsia" w:ascii="方正小标宋简体" w:hAnsi="宋体" w:eastAsia="方正小标宋简体" w:cs="宋体"/>
                <w:color w:val="000000"/>
                <w:kern w:val="0"/>
                <w:sz w:val="36"/>
                <w:szCs w:val="36"/>
              </w:rPr>
              <w:t>转移支付抗疫特别国债</w:t>
            </w:r>
          </w:p>
          <w:p>
            <w:pPr>
              <w:tabs>
                <w:tab w:val="center" w:pos="6559"/>
              </w:tabs>
              <w:spacing w:line="520" w:lineRule="exac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绩效目标自评表</w:t>
            </w:r>
          </w:p>
          <w:p>
            <w:pPr>
              <w:tabs>
                <w:tab w:val="center" w:pos="6559"/>
              </w:tabs>
              <w:spacing w:line="520" w:lineRule="exact"/>
              <w:ind w:firstLine="3850" w:firstLineChars="1750"/>
              <w:rPr>
                <w:rFonts w:ascii="宋体" w:hAnsi="宋体" w:cs="宋体"/>
                <w:color w:val="000000"/>
                <w:kern w:val="0"/>
                <w:sz w:val="22"/>
              </w:rPr>
            </w:pPr>
            <w:r>
              <w:rPr>
                <w:rFonts w:hint="eastAsia" w:ascii="宋体" w:hAnsi="宋体" w:cs="宋体"/>
                <w:color w:val="000000"/>
                <w:kern w:val="0"/>
                <w:sz w:val="22"/>
              </w:rPr>
              <w:t>（2020年度）</w:t>
            </w:r>
            <w:r>
              <w:rPr>
                <w:rFonts w:hint="eastAsia" w:ascii="宋体" w:hAnsi="宋体" w:cs="宋体"/>
                <w:color w:val="000000"/>
                <w:kern w:val="0"/>
                <w:sz w:val="22"/>
              </w:rPr>
              <w:tab/>
            </w:r>
          </w:p>
        </w:tc>
      </w:tr>
      <w:tr>
        <w:tblPrEx>
          <w:tblCellMar>
            <w:top w:w="0" w:type="dxa"/>
            <w:left w:w="108" w:type="dxa"/>
            <w:bottom w:w="0" w:type="dxa"/>
            <w:right w:w="108" w:type="dxa"/>
          </w:tblCellMar>
        </w:tblPrEx>
        <w:trPr>
          <w:trHeight w:val="57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转移支付</w:t>
            </w:r>
          </w:p>
          <w:p>
            <w:pPr>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7989" w:type="dxa"/>
            <w:gridSpan w:val="6"/>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eastAsia="仿宋_GB2312"/>
                <w:sz w:val="32"/>
                <w:szCs w:val="32"/>
              </w:rPr>
              <w:t>柳州市红十字会医院医疗综合楼改造及设备采购项目</w:t>
            </w:r>
          </w:p>
        </w:tc>
      </w:tr>
      <w:tr>
        <w:tblPrEx>
          <w:tblCellMar>
            <w:top w:w="0" w:type="dxa"/>
            <w:left w:w="108" w:type="dxa"/>
            <w:bottom w:w="0" w:type="dxa"/>
            <w:right w:w="108" w:type="dxa"/>
          </w:tblCellMar>
        </w:tblPrEx>
        <w:trPr>
          <w:trHeight w:val="340" w:hRule="exac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中央主管部门</w:t>
            </w:r>
          </w:p>
        </w:tc>
        <w:tc>
          <w:tcPr>
            <w:tcW w:w="7989" w:type="dxa"/>
            <w:gridSpan w:val="6"/>
            <w:tcBorders>
              <w:top w:val="single" w:color="auto" w:sz="4" w:space="0"/>
              <w:left w:val="nil"/>
              <w:bottom w:val="single" w:color="auto" w:sz="4" w:space="0"/>
              <w:right w:val="single" w:color="000000"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地方主管部门</w:t>
            </w:r>
          </w:p>
        </w:tc>
        <w:tc>
          <w:tcPr>
            <w:tcW w:w="0" w:type="auto"/>
            <w:gridSpan w:val="2"/>
            <w:tcBorders>
              <w:top w:val="single" w:color="auto" w:sz="4" w:space="0"/>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eastAsia="zh-CN"/>
              </w:rPr>
              <w:t>柳州市卫生健康委</w:t>
            </w:r>
          </w:p>
        </w:tc>
        <w:tc>
          <w:tcPr>
            <w:tcW w:w="0" w:type="auto"/>
            <w:gridSpan w:val="2"/>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资金使用单位</w:t>
            </w:r>
          </w:p>
        </w:tc>
        <w:tc>
          <w:tcPr>
            <w:tcW w:w="1338" w:type="dxa"/>
            <w:gridSpan w:val="2"/>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资金情况（万元）</w:t>
            </w:r>
          </w:p>
        </w:tc>
        <w:tc>
          <w:tcPr>
            <w:tcW w:w="244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314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全年预算数（A）</w:t>
            </w:r>
          </w:p>
        </w:tc>
        <w:tc>
          <w:tcPr>
            <w:tcW w:w="1347"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全年执行数（B）</w:t>
            </w:r>
          </w:p>
        </w:tc>
        <w:tc>
          <w:tcPr>
            <w:tcW w:w="1054"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预算执行率（B/A）</w:t>
            </w: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44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3148"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950</w:t>
            </w:r>
          </w:p>
        </w:tc>
        <w:tc>
          <w:tcPr>
            <w:tcW w:w="1347" w:type="dxa"/>
            <w:gridSpan w:val="3"/>
            <w:tcBorders>
              <w:top w:val="single" w:color="auto" w:sz="4" w:space="0"/>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950</w:t>
            </w:r>
          </w:p>
        </w:tc>
        <w:tc>
          <w:tcPr>
            <w:tcW w:w="1054"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44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其中：中央财政资金</w:t>
            </w:r>
          </w:p>
        </w:tc>
        <w:tc>
          <w:tcPr>
            <w:tcW w:w="3148"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950</w:t>
            </w:r>
          </w:p>
        </w:tc>
        <w:tc>
          <w:tcPr>
            <w:tcW w:w="1347" w:type="dxa"/>
            <w:gridSpan w:val="3"/>
            <w:tcBorders>
              <w:top w:val="single" w:color="auto" w:sz="4" w:space="0"/>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950</w:t>
            </w:r>
          </w:p>
        </w:tc>
        <w:tc>
          <w:tcPr>
            <w:tcW w:w="1054"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44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 xml:space="preserve">       地方资金</w:t>
            </w:r>
          </w:p>
        </w:tc>
        <w:tc>
          <w:tcPr>
            <w:tcW w:w="3148"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1347"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440"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其他资金</w:t>
            </w:r>
            <w:r>
              <w:rPr>
                <w:rFonts w:hint="eastAsia" w:ascii="宋体" w:hAnsi="宋体" w:cs="宋体"/>
                <w:color w:val="000000"/>
                <w:kern w:val="0"/>
                <w:sz w:val="18"/>
                <w:szCs w:val="18"/>
              </w:rPr>
              <w:t xml:space="preserve">   </w:t>
            </w:r>
          </w:p>
        </w:tc>
        <w:tc>
          <w:tcPr>
            <w:tcW w:w="3148"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1347" w:type="dxa"/>
            <w:gridSpan w:val="3"/>
            <w:tcBorders>
              <w:top w:val="single" w:color="auto" w:sz="4" w:space="0"/>
              <w:left w:val="nil"/>
              <w:bottom w:val="single" w:color="auto" w:sz="4" w:space="0"/>
              <w:right w:val="single" w:color="000000" w:sz="4" w:space="0"/>
            </w:tcBorders>
            <w:vAlign w:val="center"/>
          </w:tcPr>
          <w:p>
            <w:pPr>
              <w:rPr>
                <w:rFonts w:ascii="宋体" w:hAnsi="宋体" w:cs="宋体"/>
                <w:color w:val="000000"/>
                <w:kern w:val="0"/>
                <w:sz w:val="20"/>
                <w:szCs w:val="20"/>
              </w:rPr>
            </w:pPr>
          </w:p>
        </w:tc>
        <w:tc>
          <w:tcPr>
            <w:tcW w:w="1054"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vMerge w:val="restart"/>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总体</w:t>
            </w:r>
          </w:p>
          <w:p>
            <w:pPr>
              <w:rPr>
                <w:rFonts w:hint="eastAsia" w:ascii="宋体" w:hAnsi="宋体" w:cs="宋体"/>
                <w:color w:val="000000"/>
                <w:kern w:val="0"/>
                <w:sz w:val="20"/>
                <w:szCs w:val="20"/>
              </w:rPr>
            </w:pPr>
            <w:r>
              <w:rPr>
                <w:rFonts w:hint="eastAsia" w:ascii="宋体" w:hAnsi="宋体" w:cs="宋体"/>
                <w:color w:val="000000"/>
                <w:kern w:val="0"/>
                <w:sz w:val="20"/>
                <w:szCs w:val="20"/>
              </w:rPr>
              <w:t>目标</w:t>
            </w:r>
          </w:p>
          <w:p>
            <w:pPr>
              <w:rPr>
                <w:rFonts w:hint="eastAsia" w:ascii="宋体" w:hAnsi="宋体" w:cs="宋体"/>
                <w:color w:val="000000"/>
                <w:kern w:val="0"/>
                <w:sz w:val="20"/>
                <w:szCs w:val="20"/>
              </w:rPr>
            </w:pPr>
            <w:r>
              <w:rPr>
                <w:rFonts w:hint="eastAsia" w:ascii="宋体" w:hAnsi="宋体" w:cs="宋体"/>
                <w:color w:val="000000"/>
                <w:kern w:val="0"/>
                <w:sz w:val="20"/>
                <w:szCs w:val="20"/>
              </w:rPr>
              <w:t>完成</w:t>
            </w:r>
          </w:p>
          <w:p>
            <w:pPr>
              <w:rPr>
                <w:rFonts w:ascii="宋体" w:hAnsi="宋体" w:cs="宋体"/>
                <w:color w:val="000000"/>
                <w:kern w:val="0"/>
                <w:sz w:val="20"/>
                <w:szCs w:val="20"/>
              </w:rPr>
            </w:pPr>
            <w:r>
              <w:rPr>
                <w:rFonts w:hint="eastAsia" w:ascii="宋体" w:hAnsi="宋体" w:cs="宋体"/>
                <w:color w:val="000000"/>
                <w:kern w:val="0"/>
                <w:sz w:val="20"/>
                <w:szCs w:val="20"/>
              </w:rPr>
              <w:t>情况</w:t>
            </w:r>
          </w:p>
        </w:tc>
        <w:tc>
          <w:tcPr>
            <w:tcW w:w="0" w:type="auto"/>
            <w:gridSpan w:val="3"/>
            <w:tcBorders>
              <w:top w:val="single" w:color="auto" w:sz="4" w:space="0"/>
              <w:left w:val="nil"/>
              <w:bottom w:val="single" w:color="auto" w:sz="4" w:space="0"/>
              <w:right w:val="single" w:color="000000" w:sz="4" w:space="0"/>
            </w:tcBorders>
            <w:vAlign w:val="center"/>
          </w:tcPr>
          <w:p>
            <w:pPr>
              <w:ind w:firstLine="1500" w:firstLineChars="750"/>
              <w:rPr>
                <w:rFonts w:ascii="宋体" w:hAnsi="宋体" w:cs="宋体"/>
                <w:color w:val="000000"/>
                <w:kern w:val="0"/>
                <w:sz w:val="20"/>
                <w:szCs w:val="20"/>
              </w:rPr>
            </w:pPr>
            <w:r>
              <w:rPr>
                <w:rFonts w:hint="eastAsia" w:ascii="宋体" w:hAnsi="宋体" w:cs="宋体"/>
                <w:color w:val="000000"/>
                <w:kern w:val="0"/>
                <w:sz w:val="20"/>
                <w:szCs w:val="20"/>
              </w:rPr>
              <w:t>总体目标</w:t>
            </w:r>
          </w:p>
        </w:tc>
        <w:tc>
          <w:tcPr>
            <w:tcW w:w="2401" w:type="dxa"/>
            <w:gridSpan w:val="4"/>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全年实际完成情况</w:t>
            </w:r>
          </w:p>
        </w:tc>
      </w:tr>
      <w:tr>
        <w:tblPrEx>
          <w:tblCellMar>
            <w:top w:w="0" w:type="dxa"/>
            <w:left w:w="108" w:type="dxa"/>
            <w:bottom w:w="0" w:type="dxa"/>
            <w:right w:w="108" w:type="dxa"/>
          </w:tblCellMar>
        </w:tblPrEx>
        <w:trPr>
          <w:trHeight w:val="6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c>
          <w:tcPr>
            <w:tcW w:w="0" w:type="auto"/>
            <w:gridSpan w:val="3"/>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eastAsia="宋体" w:cs="宋体"/>
                <w:i w:val="0"/>
                <w:iCs w:val="0"/>
                <w:caps w:val="0"/>
                <w:color w:val="000000"/>
                <w:spacing w:val="0"/>
                <w:sz w:val="24"/>
                <w:szCs w:val="24"/>
                <w:shd w:val="clear" w:fill="FFFFFF"/>
              </w:rPr>
              <w:t>按照我院发展规范和当前新冠</w:t>
            </w:r>
            <w:r>
              <w:rPr>
                <w:rFonts w:hint="eastAsia" w:ascii="宋体" w:hAnsi="宋体" w:cs="宋体"/>
                <w:i w:val="0"/>
                <w:iCs w:val="0"/>
                <w:caps w:val="0"/>
                <w:color w:val="000000"/>
                <w:spacing w:val="0"/>
                <w:sz w:val="24"/>
                <w:szCs w:val="24"/>
                <w:shd w:val="clear" w:fill="FFFFFF"/>
                <w:lang w:val="en-US" w:eastAsia="zh-CN"/>
              </w:rPr>
              <w:t>肺炎</w:t>
            </w:r>
            <w:r>
              <w:rPr>
                <w:rFonts w:hint="eastAsia" w:ascii="宋体" w:hAnsi="宋体" w:eastAsia="宋体" w:cs="宋体"/>
                <w:i w:val="0"/>
                <w:iCs w:val="0"/>
                <w:caps w:val="0"/>
                <w:color w:val="000000"/>
                <w:spacing w:val="0"/>
                <w:sz w:val="24"/>
                <w:szCs w:val="24"/>
                <w:shd w:val="clear" w:fill="FFFFFF"/>
              </w:rPr>
              <w:t>情防控情况，为提高我院医疗服务水平，满足群众的就医需求，根据目前医院疫情防控工作和医院发展的需要，经院</w:t>
            </w:r>
            <w:r>
              <w:rPr>
                <w:rFonts w:hint="eastAsia" w:ascii="宋体" w:hAnsi="宋体" w:eastAsia="宋体" w:cs="宋体"/>
                <w:i w:val="0"/>
                <w:iCs w:val="0"/>
                <w:caps w:val="0"/>
                <w:color w:val="000000"/>
                <w:spacing w:val="0"/>
                <w:sz w:val="24"/>
                <w:szCs w:val="24"/>
                <w:shd w:val="clear" w:fill="FFFFFF"/>
                <w:lang w:eastAsia="zh-CN"/>
              </w:rPr>
              <w:t>班子</w:t>
            </w:r>
            <w:r>
              <w:rPr>
                <w:rFonts w:hint="eastAsia" w:ascii="宋体" w:hAnsi="宋体" w:eastAsia="宋体" w:cs="宋体"/>
                <w:i w:val="0"/>
                <w:iCs w:val="0"/>
                <w:caps w:val="0"/>
                <w:color w:val="000000"/>
                <w:spacing w:val="0"/>
                <w:sz w:val="24"/>
                <w:szCs w:val="24"/>
                <w:shd w:val="clear" w:fill="FFFFFF"/>
              </w:rPr>
              <w:t>领导同意，并报经院</w:t>
            </w:r>
            <w:r>
              <w:rPr>
                <w:rFonts w:hint="eastAsia" w:ascii="宋体" w:hAnsi="宋体" w:eastAsia="宋体" w:cs="宋体"/>
                <w:i w:val="0"/>
                <w:iCs w:val="0"/>
                <w:caps w:val="0"/>
                <w:color w:val="000000"/>
                <w:spacing w:val="0"/>
                <w:sz w:val="24"/>
                <w:szCs w:val="24"/>
                <w:shd w:val="clear" w:fill="FFFFFF"/>
                <w:lang w:eastAsia="zh-CN"/>
              </w:rPr>
              <w:t>党委</w:t>
            </w:r>
            <w:r>
              <w:rPr>
                <w:rFonts w:hint="eastAsia" w:ascii="宋体" w:hAnsi="宋体" w:eastAsia="宋体" w:cs="宋体"/>
                <w:i w:val="0"/>
                <w:iCs w:val="0"/>
                <w:caps w:val="0"/>
                <w:color w:val="000000"/>
                <w:spacing w:val="0"/>
                <w:sz w:val="24"/>
                <w:szCs w:val="24"/>
                <w:shd w:val="clear" w:fill="FFFFFF"/>
              </w:rPr>
              <w:t>会</w:t>
            </w:r>
            <w:r>
              <w:rPr>
                <w:rFonts w:hint="eastAsia" w:ascii="宋体" w:hAnsi="宋体" w:eastAsia="宋体" w:cs="宋体"/>
                <w:i w:val="0"/>
                <w:iCs w:val="0"/>
                <w:caps w:val="0"/>
                <w:color w:val="000000"/>
                <w:spacing w:val="0"/>
                <w:sz w:val="24"/>
                <w:szCs w:val="24"/>
                <w:shd w:val="clear" w:fill="FFFFFF"/>
                <w:lang w:eastAsia="zh-CN"/>
              </w:rPr>
              <w:t>审议</w:t>
            </w:r>
            <w:r>
              <w:rPr>
                <w:rFonts w:hint="eastAsia" w:ascii="宋体" w:hAnsi="宋体" w:eastAsia="宋体" w:cs="宋体"/>
                <w:i w:val="0"/>
                <w:iCs w:val="0"/>
                <w:caps w:val="0"/>
                <w:color w:val="000000"/>
                <w:spacing w:val="0"/>
                <w:sz w:val="24"/>
                <w:szCs w:val="24"/>
                <w:shd w:val="clear" w:fill="FFFFFF"/>
              </w:rPr>
              <w:t>通过，决定实施医院医疗综合楼改造及设备采购项目。</w:t>
            </w:r>
          </w:p>
        </w:tc>
        <w:tc>
          <w:tcPr>
            <w:tcW w:w="2401" w:type="dxa"/>
            <w:gridSpan w:val="4"/>
            <w:tcBorders>
              <w:top w:val="single" w:color="auto" w:sz="4" w:space="0"/>
              <w:left w:val="nil"/>
              <w:bottom w:val="single" w:color="auto" w:sz="4" w:space="0"/>
              <w:right w:val="single" w:color="auto" w:sz="4" w:space="0"/>
            </w:tcBorders>
            <w:vAlign w:val="center"/>
          </w:tcPr>
          <w:p>
            <w:pPr>
              <w:rPr>
                <w:rFonts w:hint="default" w:ascii="宋体" w:hAnsi="宋体" w:cs="宋体"/>
                <w:color w:val="000000"/>
                <w:kern w:val="0"/>
                <w:sz w:val="20"/>
                <w:szCs w:val="20"/>
                <w:lang w:val="en-US"/>
              </w:rPr>
            </w:pPr>
            <w:r>
              <w:rPr>
                <w:rFonts w:hint="eastAsia" w:ascii="宋体" w:hAnsi="宋体" w:eastAsia="宋体" w:cs="宋体"/>
                <w:i w:val="0"/>
                <w:iCs w:val="0"/>
                <w:caps w:val="0"/>
                <w:color w:val="000000"/>
                <w:spacing w:val="0"/>
                <w:sz w:val="24"/>
                <w:szCs w:val="24"/>
                <w:shd w:val="clear" w:fill="FFFFFF"/>
                <w:lang w:val="en-US" w:eastAsia="zh-CN"/>
              </w:rPr>
              <w:t>已完成设备采购，配置眼科专科设备6台</w:t>
            </w:r>
          </w:p>
        </w:tc>
      </w:tr>
      <w:tr>
        <w:tblPrEx>
          <w:tblCellMar>
            <w:top w:w="0" w:type="dxa"/>
            <w:left w:w="108" w:type="dxa"/>
            <w:bottom w:w="0" w:type="dxa"/>
            <w:right w:w="108" w:type="dxa"/>
          </w:tblCellMar>
        </w:tblPrEx>
        <w:trPr>
          <w:trHeight w:val="1020" w:hRule="exact"/>
          <w:jc w:val="center"/>
        </w:trPr>
        <w:tc>
          <w:tcPr>
            <w:tcW w:w="0" w:type="auto"/>
            <w:tcBorders>
              <w:top w:val="nil"/>
              <w:left w:val="single" w:color="auto" w:sz="4" w:space="0"/>
              <w:bottom w:val="single" w:color="auto" w:sz="4" w:space="0"/>
              <w:right w:val="single" w:color="auto" w:sz="4" w:space="0"/>
            </w:tcBorders>
            <w:textDirection w:val="tbRlV"/>
            <w:vAlign w:val="center"/>
          </w:tcPr>
          <w:p>
            <w:pPr>
              <w:ind w:firstLine="900" w:firstLineChars="450"/>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0" w:type="auto"/>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244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二级</w:t>
            </w:r>
          </w:p>
          <w:p>
            <w:pPr>
              <w:jc w:val="center"/>
              <w:rPr>
                <w:rFonts w:ascii="宋体" w:hAnsi="宋体" w:cs="宋体"/>
                <w:color w:val="000000"/>
                <w:kern w:val="0"/>
                <w:sz w:val="20"/>
                <w:szCs w:val="20"/>
              </w:rPr>
            </w:pPr>
            <w:r>
              <w:rPr>
                <w:rFonts w:hint="eastAsia" w:ascii="宋体" w:hAnsi="宋体" w:cs="宋体"/>
                <w:color w:val="000000"/>
                <w:kern w:val="0"/>
                <w:sz w:val="20"/>
                <w:szCs w:val="20"/>
              </w:rPr>
              <w:t>指标</w:t>
            </w:r>
          </w:p>
        </w:tc>
        <w:tc>
          <w:tcPr>
            <w:tcW w:w="314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855"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492" w:type="dxa"/>
            <w:gridSpan w:val="2"/>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全年完成值</w:t>
            </w:r>
          </w:p>
        </w:tc>
        <w:tc>
          <w:tcPr>
            <w:tcW w:w="1054"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未完成原因和改进措施</w:t>
            </w:r>
          </w:p>
        </w:tc>
      </w:tr>
    </w:tbl>
    <w:p>
      <w:pPr>
        <w:rPr>
          <w:rFonts w:hint="eastAsia" w:eastAsiaTheme="minorEastAsia"/>
          <w:lang w:eastAsia="zh-CN"/>
        </w:rPr>
      </w:pPr>
      <w:bookmarkStart w:id="0" w:name="_GoBack"/>
      <w:bookmarkEnd w:id="0"/>
    </w:p>
    <w:tbl>
      <w:tblPr>
        <w:tblStyle w:val="7"/>
        <w:tblpPr w:leftFromText="180" w:rightFromText="180" w:vertAnchor="text" w:tblpXSpec="center" w:tblpY="1"/>
        <w:tblOverlap w:val="never"/>
        <w:tblW w:w="9488" w:type="dxa"/>
        <w:jc w:val="center"/>
        <w:tblLayout w:type="autofit"/>
        <w:tblCellMar>
          <w:top w:w="0" w:type="dxa"/>
          <w:left w:w="108" w:type="dxa"/>
          <w:bottom w:w="0" w:type="dxa"/>
          <w:right w:w="108" w:type="dxa"/>
        </w:tblCellMar>
      </w:tblPr>
      <w:tblGrid>
        <w:gridCol w:w="466"/>
        <w:gridCol w:w="614"/>
        <w:gridCol w:w="2346"/>
        <w:gridCol w:w="2894"/>
        <w:gridCol w:w="1079"/>
        <w:gridCol w:w="616"/>
        <w:gridCol w:w="1473"/>
      </w:tblGrid>
      <w:tr>
        <w:tblPrEx>
          <w:tblCellMar>
            <w:top w:w="0" w:type="dxa"/>
            <w:left w:w="108" w:type="dxa"/>
            <w:bottom w:w="0" w:type="dxa"/>
            <w:right w:w="108" w:type="dxa"/>
          </w:tblCellMar>
        </w:tblPrEx>
        <w:trPr>
          <w:trHeight w:val="1020" w:hRule="atLeast"/>
          <w:jc w:val="center"/>
        </w:trPr>
        <w:tc>
          <w:tcPr>
            <w:tcW w:w="0" w:type="auto"/>
            <w:vMerge w:val="restart"/>
            <w:tcBorders>
              <w:top w:val="nil"/>
              <w:left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产出指标</w:t>
            </w:r>
          </w:p>
        </w:tc>
        <w:tc>
          <w:tcPr>
            <w:tcW w:w="2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数量指标</w:t>
            </w:r>
          </w:p>
          <w:p>
            <w:pPr>
              <w:jc w:val="center"/>
              <w:rPr>
                <w:rFonts w:ascii="宋体" w:hAnsi="宋体" w:cs="宋体"/>
                <w:kern w:val="0"/>
                <w:sz w:val="20"/>
                <w:szCs w:val="20"/>
              </w:rPr>
            </w:pP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仪器设备采购数量（台）</w:t>
            </w:r>
          </w:p>
        </w:tc>
        <w:tc>
          <w:tcPr>
            <w:tcW w:w="1079" w:type="dxa"/>
            <w:tcBorders>
              <w:top w:val="nil"/>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6台</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473"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lang w:eastAsia="zh-CN"/>
              </w:rPr>
              <w:t>质量</w:t>
            </w:r>
            <w:r>
              <w:rPr>
                <w:rFonts w:hint="eastAsia" w:ascii="宋体" w:hAnsi="宋体" w:cs="宋体"/>
                <w:kern w:val="0"/>
                <w:sz w:val="20"/>
                <w:szCs w:val="20"/>
              </w:rPr>
              <w:t>指标</w:t>
            </w: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设备按优质标准采购</w:t>
            </w:r>
          </w:p>
        </w:tc>
        <w:tc>
          <w:tcPr>
            <w:tcW w:w="1079"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≧95%</w:t>
            </w:r>
          </w:p>
        </w:tc>
        <w:tc>
          <w:tcPr>
            <w:tcW w:w="61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≧95%</w:t>
            </w:r>
          </w:p>
        </w:tc>
        <w:tc>
          <w:tcPr>
            <w:tcW w:w="1473"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lang w:eastAsia="zh-CN"/>
              </w:rPr>
              <w:t>时效</w:t>
            </w:r>
            <w:r>
              <w:rPr>
                <w:rFonts w:hint="eastAsia" w:ascii="宋体" w:hAnsi="宋体" w:cs="宋体"/>
                <w:kern w:val="0"/>
                <w:sz w:val="20"/>
                <w:szCs w:val="20"/>
              </w:rPr>
              <w:t>指标</w:t>
            </w: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年内完成</w:t>
            </w:r>
            <w:r>
              <w:rPr>
                <w:rFonts w:hint="eastAsia" w:ascii="宋体" w:hAnsi="宋体" w:cs="宋体"/>
                <w:color w:val="000000"/>
                <w:kern w:val="0"/>
                <w:sz w:val="20"/>
                <w:szCs w:val="20"/>
                <w:lang w:eastAsia="zh-CN"/>
              </w:rPr>
              <w:t>设备</w:t>
            </w:r>
            <w:r>
              <w:rPr>
                <w:rFonts w:hint="eastAsia" w:ascii="宋体" w:hAnsi="宋体" w:cs="宋体"/>
                <w:color w:val="000000"/>
                <w:kern w:val="0"/>
                <w:sz w:val="20"/>
                <w:szCs w:val="20"/>
              </w:rPr>
              <w:t>采购</w:t>
            </w:r>
          </w:p>
        </w:tc>
        <w:tc>
          <w:tcPr>
            <w:tcW w:w="1079"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473"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时效</w:t>
            </w:r>
            <w:r>
              <w:rPr>
                <w:rFonts w:hint="eastAsia" w:ascii="宋体" w:hAnsi="宋体" w:cs="宋体"/>
                <w:kern w:val="0"/>
                <w:sz w:val="20"/>
                <w:szCs w:val="20"/>
              </w:rPr>
              <w:t>指标</w:t>
            </w: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年内完成</w:t>
            </w:r>
            <w:r>
              <w:rPr>
                <w:rFonts w:hint="eastAsia" w:ascii="宋体" w:hAnsi="宋体" w:cs="宋体"/>
                <w:color w:val="000000"/>
                <w:kern w:val="0"/>
                <w:sz w:val="20"/>
                <w:szCs w:val="20"/>
                <w:lang w:eastAsia="zh-CN"/>
              </w:rPr>
              <w:t>项目</w:t>
            </w:r>
            <w:r>
              <w:rPr>
                <w:rFonts w:hint="eastAsia" w:ascii="宋体" w:hAnsi="宋体" w:cs="宋体"/>
                <w:color w:val="000000"/>
                <w:kern w:val="0"/>
                <w:sz w:val="20"/>
                <w:szCs w:val="20"/>
              </w:rPr>
              <w:t>建设</w:t>
            </w:r>
          </w:p>
        </w:tc>
        <w:tc>
          <w:tcPr>
            <w:tcW w:w="1079"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bidi="ar-SA"/>
              </w:rPr>
              <w:t>100%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bidi="ar-SA"/>
              </w:rPr>
              <w:t>65%</w:t>
            </w:r>
          </w:p>
        </w:tc>
        <w:tc>
          <w:tcPr>
            <w:tcW w:w="1473"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highlight w:val="yellow"/>
                <w:lang w:val="en-US" w:eastAsia="zh-CN" w:bidi="ar-SA"/>
              </w:rPr>
            </w:pPr>
            <w:r>
              <w:rPr>
                <w:rFonts w:hint="eastAsia"/>
              </w:rPr>
              <w:t>2020年</w:t>
            </w:r>
            <w:r>
              <w:rPr>
                <w:rFonts w:hint="eastAsia"/>
                <w:lang w:val="en-US" w:eastAsia="zh-CN"/>
              </w:rPr>
              <w:t>12月末</w:t>
            </w:r>
            <w:r>
              <w:rPr>
                <w:rFonts w:hint="eastAsia"/>
                <w:lang w:eastAsia="zh-CN"/>
              </w:rPr>
              <w:t>已</w:t>
            </w:r>
            <w:r>
              <w:rPr>
                <w:rFonts w:hint="eastAsia"/>
              </w:rPr>
              <w:t>完成</w:t>
            </w:r>
            <w:r>
              <w:rPr>
                <w:rFonts w:hint="eastAsia"/>
                <w:lang w:val="en-US" w:eastAsia="zh-CN"/>
              </w:rPr>
              <w:t>1部电梯</w:t>
            </w:r>
            <w:r>
              <w:rPr>
                <w:rFonts w:hint="eastAsia"/>
              </w:rPr>
              <w:t>更换，待新电梯运行稳定后，今年计划更换另一部旧电梯</w:t>
            </w: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eastAsia="zh-CN"/>
              </w:rPr>
              <w:t>成本指标</w:t>
            </w:r>
          </w:p>
        </w:tc>
        <w:tc>
          <w:tcPr>
            <w:tcW w:w="28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不超预算使用</w:t>
            </w:r>
          </w:p>
        </w:tc>
        <w:tc>
          <w:tcPr>
            <w:tcW w:w="10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100%</w:t>
            </w:r>
          </w:p>
        </w:tc>
        <w:tc>
          <w:tcPr>
            <w:tcW w:w="6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100%</w:t>
            </w: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2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社会效益指标</w:t>
            </w:r>
          </w:p>
        </w:tc>
        <w:tc>
          <w:tcPr>
            <w:tcW w:w="289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完善医院诊疗能力，提升医院服务质量，改善就诊环境</w:t>
            </w: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提升医院服务能力、保障人民群众身体健康</w:t>
            </w:r>
          </w:p>
        </w:tc>
        <w:tc>
          <w:tcPr>
            <w:tcW w:w="6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14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满意度指标</w:t>
            </w:r>
          </w:p>
        </w:tc>
        <w:tc>
          <w:tcPr>
            <w:tcW w:w="234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服务对象满意度指标</w:t>
            </w: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lang w:eastAsia="zh-CN"/>
              </w:rPr>
              <w:t>患者</w:t>
            </w:r>
            <w:r>
              <w:rPr>
                <w:rFonts w:hint="eastAsia"/>
              </w:rPr>
              <w:t>满意度</w:t>
            </w:r>
          </w:p>
        </w:tc>
        <w:tc>
          <w:tcPr>
            <w:tcW w:w="1079"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1473"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89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rPr>
              <w:t>医院职工满意度</w:t>
            </w:r>
          </w:p>
        </w:tc>
        <w:tc>
          <w:tcPr>
            <w:tcW w:w="1079"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1473"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说明</w:t>
            </w:r>
          </w:p>
        </w:tc>
        <w:tc>
          <w:tcPr>
            <w:tcW w:w="9022"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请在此处简要说明中央巡视、各级审计和财政监督中发现的问题及其所涉及的金额，如没有请填无。</w:t>
            </w:r>
          </w:p>
        </w:tc>
      </w:tr>
      <w:tr>
        <w:tblPrEx>
          <w:tblCellMar>
            <w:top w:w="0" w:type="dxa"/>
            <w:left w:w="108" w:type="dxa"/>
            <w:bottom w:w="0" w:type="dxa"/>
            <w:right w:w="108" w:type="dxa"/>
          </w:tblCellMar>
        </w:tblPrEx>
        <w:trPr>
          <w:trHeight w:val="540" w:hRule="atLeast"/>
          <w:jc w:val="center"/>
        </w:trPr>
        <w:tc>
          <w:tcPr>
            <w:tcW w:w="9488" w:type="dxa"/>
            <w:gridSpan w:val="7"/>
            <w:vAlign w:val="center"/>
          </w:tcPr>
          <w:p>
            <w:pPr>
              <w:rPr>
                <w:rFonts w:ascii="宋体" w:hAnsi="宋体" w:cs="宋体"/>
                <w:color w:val="000000"/>
                <w:kern w:val="0"/>
                <w:sz w:val="18"/>
                <w:szCs w:val="18"/>
              </w:rPr>
            </w:pPr>
            <w:r>
              <w:rPr>
                <w:rFonts w:hint="eastAsia" w:ascii="宋体" w:hAnsi="宋体" w:cs="宋体"/>
                <w:color w:val="000000"/>
                <w:kern w:val="0"/>
                <w:sz w:val="18"/>
                <w:szCs w:val="18"/>
              </w:rPr>
              <w:t>注：1.资金使用单位按项目绩效目标填报，主管部门汇总时按区域绩效目标填报。</w:t>
            </w:r>
          </w:p>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2.其他资金包括与中央财政资金、地方财政资金共同投入到同一项目的自有资金、社会资金，以及以前年度的结转结余资金等。</w:t>
            </w:r>
          </w:p>
        </w:tc>
      </w:tr>
      <w:tr>
        <w:tblPrEx>
          <w:tblCellMar>
            <w:top w:w="0" w:type="dxa"/>
            <w:left w:w="108" w:type="dxa"/>
            <w:bottom w:w="0" w:type="dxa"/>
            <w:right w:w="108" w:type="dxa"/>
          </w:tblCellMar>
        </w:tblPrEx>
        <w:trPr>
          <w:trHeight w:val="510" w:hRule="atLeast"/>
          <w:jc w:val="center"/>
        </w:trPr>
        <w:tc>
          <w:tcPr>
            <w:tcW w:w="9488" w:type="dxa"/>
            <w:gridSpan w:val="7"/>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    3.全年执行数是指按照国库集中支付制度要求，支付到商品和劳务供应者或用款单位形成的实际支出。</w:t>
            </w:r>
          </w:p>
        </w:tc>
      </w:tr>
      <w:tr>
        <w:tblPrEx>
          <w:tblCellMar>
            <w:top w:w="0" w:type="dxa"/>
            <w:left w:w="108" w:type="dxa"/>
            <w:bottom w:w="0" w:type="dxa"/>
            <w:right w:w="108" w:type="dxa"/>
          </w:tblCellMar>
        </w:tblPrEx>
        <w:trPr>
          <w:trHeight w:val="270" w:hRule="atLeast"/>
          <w:jc w:val="center"/>
        </w:trPr>
        <w:tc>
          <w:tcPr>
            <w:tcW w:w="9488" w:type="dxa"/>
            <w:gridSpan w:val="7"/>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   </w:t>
            </w:r>
            <w:r>
              <w:t xml:space="preserve"> </w:t>
            </w:r>
            <w:r>
              <w:rPr>
                <w:rFonts w:hint="eastAsia" w:ascii="宋体" w:hAnsi="宋体" w:cs="宋体"/>
                <w:color w:val="000000"/>
                <w:kern w:val="0"/>
                <w:sz w:val="18"/>
                <w:szCs w:val="18"/>
              </w:rPr>
              <w:t>4.定量指标。地方各级主管部门对资金使用单位填写的实际完成值汇总时，绝对值直接累加计算，相对值按照资金额度加权平均计算。</w:t>
            </w:r>
          </w:p>
        </w:tc>
      </w:tr>
    </w:tbl>
    <w:p>
      <w:pPr>
        <w:autoSpaceDE w:val="0"/>
        <w:autoSpaceDN w:val="0"/>
        <w:adjustRightInd w:val="0"/>
        <w:spacing w:line="580" w:lineRule="exact"/>
        <w:ind w:firstLine="360" w:firstLineChars="200"/>
        <w:jc w:val="left"/>
        <w:rPr>
          <w:rFonts w:hint="eastAsia" w:ascii="仿宋_GB2312" w:eastAsia="仿宋_GB2312" w:cs="仿宋_GB2312"/>
          <w:kern w:val="0"/>
          <w:sz w:val="32"/>
          <w:szCs w:val="32"/>
        </w:rPr>
      </w:pPr>
      <w:r>
        <w:rPr>
          <w:rFonts w:hint="eastAsia" w:ascii="宋体" w:hAnsi="宋体"/>
          <w:sz w:val="18"/>
          <w:szCs w:val="18"/>
        </w:rPr>
        <w:t>5.定性指标。资金使用单位分别按照100%-80%（含）、80%-60%（含）、60%-0%合理填写实际完成。地方各级主管部门汇总时，按照资金额度加权平均计算。</w:t>
      </w:r>
      <w: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-15875</wp:posOffset>
                </wp:positionV>
                <wp:extent cx="904875" cy="19050"/>
                <wp:effectExtent l="0" t="4445" r="9525" b="5080"/>
                <wp:wrapNone/>
                <wp:docPr id="1" name="直接箭头连接符 1"/>
                <wp:cNvGraphicFramePr/>
                <a:graphic xmlns:a="http://schemas.openxmlformats.org/drawingml/2006/main">
                  <a:graphicData uri="http://schemas.microsoft.com/office/word/2010/wordprocessingShape">
                    <wps:wsp>
                      <wps:cNvCnPr/>
                      <wps:spPr>
                        <a:xfrm>
                          <a:off x="0" y="0"/>
                          <a:ext cx="9048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5pt;margin-top:-1.25pt;height:1.5pt;width:71.25pt;z-index:251659264;mso-width-relative:page;mso-height-relative:page;" filled="f" stroked="t" coordsize="21600,21600" o:gfxdata="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aNKtnUAAAABQEAAA8AAAAAAAAAAQAgAAAAIgAAAGRycy9kb3ducmV2&#10;LnhtbFBLAQIUABQAAAAIAIdO4kC/iIhXAAIAAO8DAAAOAAAAAAAAAAEAIAAAACMBAABkcnMvZTJv&#10;RG9jLnhtbFBLBQYAAAAABgAGAFkBAACVBQAAAAA=&#10;">
                <v:fill on="f" focussize="0,0"/>
                <v:stroke color="#000000" joinstyle="round"/>
                <v:imagedata o:title=""/>
                <o:lock v:ext="edit" aspectratio="f"/>
              </v:shape>
            </w:pict>
          </mc:Fallback>
        </mc:AlternateContent>
      </w:r>
      <w:r>
        <w:t xml:space="preserve"> </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p>
    <w:tbl>
      <w:tblPr>
        <w:tblStyle w:val="7"/>
        <w:tblpPr w:leftFromText="180" w:rightFromText="180" w:vertAnchor="text" w:tblpXSpec="center" w:tblpY="1"/>
        <w:tblOverlap w:val="never"/>
        <w:tblW w:w="9101" w:type="dxa"/>
        <w:jc w:val="center"/>
        <w:tblLayout w:type="autofit"/>
        <w:tblCellMar>
          <w:top w:w="0" w:type="dxa"/>
          <w:left w:w="108" w:type="dxa"/>
          <w:bottom w:w="0" w:type="dxa"/>
          <w:right w:w="108" w:type="dxa"/>
        </w:tblCellMar>
      </w:tblPr>
      <w:tblGrid>
        <w:gridCol w:w="616"/>
        <w:gridCol w:w="496"/>
        <w:gridCol w:w="2332"/>
        <w:gridCol w:w="3028"/>
        <w:gridCol w:w="1015"/>
        <w:gridCol w:w="208"/>
        <w:gridCol w:w="208"/>
        <w:gridCol w:w="1198"/>
      </w:tblGrid>
      <w:tr>
        <w:tblPrEx>
          <w:tblCellMar>
            <w:top w:w="0" w:type="dxa"/>
            <w:left w:w="108" w:type="dxa"/>
            <w:bottom w:w="0" w:type="dxa"/>
            <w:right w:w="108" w:type="dxa"/>
          </w:tblCellMar>
        </w:tblPrEx>
        <w:trPr>
          <w:trHeight w:val="432" w:hRule="atLeast"/>
          <w:jc w:val="center"/>
        </w:trPr>
        <w:tc>
          <w:tcPr>
            <w:tcW w:w="9101" w:type="dxa"/>
            <w:gridSpan w:val="8"/>
            <w:tcBorders>
              <w:top w:val="nil"/>
              <w:left w:val="nil"/>
              <w:bottom w:val="single" w:color="auto" w:sz="4" w:space="0"/>
              <w:right w:val="nil"/>
            </w:tcBorders>
          </w:tcPr>
          <w:p>
            <w:pPr>
              <w:tabs>
                <w:tab w:val="center" w:pos="6559"/>
              </w:tabs>
              <w:spacing w:line="520" w:lineRule="exac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lang w:eastAsia="zh-CN"/>
              </w:rPr>
              <w:t>柳州市红十字会医院</w:t>
            </w:r>
            <w:r>
              <w:rPr>
                <w:rFonts w:hint="eastAsia" w:ascii="方正小标宋简体" w:hAnsi="宋体" w:eastAsia="方正小标宋简体" w:cs="宋体"/>
                <w:color w:val="000000"/>
                <w:kern w:val="0"/>
                <w:sz w:val="36"/>
                <w:szCs w:val="36"/>
              </w:rPr>
              <w:t>转移支付抗疫特别国债</w:t>
            </w:r>
          </w:p>
          <w:p>
            <w:pPr>
              <w:tabs>
                <w:tab w:val="center" w:pos="6559"/>
              </w:tabs>
              <w:spacing w:line="520" w:lineRule="exac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绩效目标自评表</w:t>
            </w:r>
          </w:p>
          <w:p>
            <w:pPr>
              <w:tabs>
                <w:tab w:val="center" w:pos="6559"/>
              </w:tabs>
              <w:spacing w:line="520" w:lineRule="exact"/>
              <w:ind w:firstLine="3850" w:firstLineChars="1750"/>
              <w:rPr>
                <w:rFonts w:ascii="宋体" w:hAnsi="宋体" w:cs="宋体"/>
                <w:color w:val="000000"/>
                <w:kern w:val="0"/>
                <w:sz w:val="22"/>
              </w:rPr>
            </w:pPr>
            <w:r>
              <w:rPr>
                <w:rFonts w:hint="eastAsia" w:ascii="宋体" w:hAnsi="宋体" w:cs="宋体"/>
                <w:color w:val="000000"/>
                <w:kern w:val="0"/>
                <w:sz w:val="22"/>
              </w:rPr>
              <w:t>（2020年度）</w:t>
            </w:r>
            <w:r>
              <w:rPr>
                <w:rFonts w:hint="eastAsia" w:ascii="宋体" w:hAnsi="宋体" w:cs="宋体"/>
                <w:color w:val="000000"/>
                <w:kern w:val="0"/>
                <w:sz w:val="22"/>
              </w:rPr>
              <w:tab/>
            </w:r>
          </w:p>
        </w:tc>
      </w:tr>
      <w:tr>
        <w:tblPrEx>
          <w:tblCellMar>
            <w:top w:w="0" w:type="dxa"/>
            <w:left w:w="108" w:type="dxa"/>
            <w:bottom w:w="0" w:type="dxa"/>
            <w:right w:w="108" w:type="dxa"/>
          </w:tblCellMar>
        </w:tblPrEx>
        <w:trPr>
          <w:trHeight w:val="57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转移支付</w:t>
            </w:r>
          </w:p>
          <w:p>
            <w:pPr>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21" w:type="dxa"/>
            <w:gridSpan w:val="6"/>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eastAsia="仿宋_GB2312"/>
                <w:sz w:val="32"/>
                <w:szCs w:val="32"/>
              </w:rPr>
              <w:t>柳州市红十字会医院发热哨点诊室建设项目</w:t>
            </w:r>
          </w:p>
        </w:tc>
      </w:tr>
      <w:tr>
        <w:tblPrEx>
          <w:tblCellMar>
            <w:top w:w="0" w:type="dxa"/>
            <w:left w:w="108" w:type="dxa"/>
            <w:bottom w:w="0" w:type="dxa"/>
            <w:right w:w="108" w:type="dxa"/>
          </w:tblCellMar>
        </w:tblPrEx>
        <w:trPr>
          <w:trHeight w:val="340" w:hRule="exac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中央主管部门</w:t>
            </w:r>
          </w:p>
        </w:tc>
        <w:tc>
          <w:tcPr>
            <w:tcW w:w="8021" w:type="dxa"/>
            <w:gridSpan w:val="6"/>
            <w:tcBorders>
              <w:top w:val="single" w:color="auto" w:sz="4" w:space="0"/>
              <w:left w:val="nil"/>
              <w:bottom w:val="single" w:color="auto" w:sz="4" w:space="0"/>
              <w:right w:val="single" w:color="000000"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地方主管部门</w:t>
            </w:r>
          </w:p>
        </w:tc>
        <w:tc>
          <w:tcPr>
            <w:tcW w:w="0" w:type="auto"/>
            <w:gridSpan w:val="2"/>
            <w:tcBorders>
              <w:top w:val="single" w:color="auto" w:sz="4" w:space="0"/>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eastAsia="zh-CN"/>
              </w:rPr>
            </w:pPr>
            <w:r>
              <w:rPr>
                <w:rFonts w:hint="eastAsia" w:ascii="宋体" w:hAnsi="宋体" w:cs="宋体"/>
                <w:color w:val="000000"/>
                <w:kern w:val="0"/>
                <w:sz w:val="20"/>
                <w:szCs w:val="20"/>
                <w:lang w:eastAsia="zh-CN"/>
              </w:rPr>
              <w:t>柳州市卫生健康委</w:t>
            </w:r>
          </w:p>
        </w:tc>
        <w:tc>
          <w:tcPr>
            <w:tcW w:w="0" w:type="auto"/>
            <w:gridSpan w:val="2"/>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资金使用单位</w:t>
            </w:r>
          </w:p>
        </w:tc>
        <w:tc>
          <w:tcPr>
            <w:tcW w:w="1394" w:type="dxa"/>
            <w:gridSpan w:val="2"/>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资金情况（万元）</w:t>
            </w:r>
          </w:p>
        </w:tc>
        <w:tc>
          <w:tcPr>
            <w:tcW w:w="234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3113"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全年预算数（A）</w:t>
            </w:r>
          </w:p>
        </w:tc>
        <w:tc>
          <w:tcPr>
            <w:tcW w:w="1476"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全年执行数（B）</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预算执行率（B/A）</w:t>
            </w: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34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年度资金总额：</w:t>
            </w:r>
          </w:p>
        </w:tc>
        <w:tc>
          <w:tcPr>
            <w:tcW w:w="3113"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200</w:t>
            </w:r>
          </w:p>
        </w:tc>
        <w:tc>
          <w:tcPr>
            <w:tcW w:w="1476" w:type="dxa"/>
            <w:gridSpan w:val="3"/>
            <w:tcBorders>
              <w:top w:val="single" w:color="auto" w:sz="4" w:space="0"/>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200</w:t>
            </w:r>
          </w:p>
        </w:tc>
        <w:tc>
          <w:tcPr>
            <w:tcW w:w="108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34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其中：中央财政资金</w:t>
            </w:r>
          </w:p>
        </w:tc>
        <w:tc>
          <w:tcPr>
            <w:tcW w:w="3113"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200</w:t>
            </w:r>
          </w:p>
        </w:tc>
        <w:tc>
          <w:tcPr>
            <w:tcW w:w="1476" w:type="dxa"/>
            <w:gridSpan w:val="3"/>
            <w:tcBorders>
              <w:top w:val="single" w:color="auto" w:sz="4" w:space="0"/>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200</w:t>
            </w:r>
          </w:p>
        </w:tc>
        <w:tc>
          <w:tcPr>
            <w:tcW w:w="108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34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 xml:space="preserve">       地方资金</w:t>
            </w:r>
          </w:p>
        </w:tc>
        <w:tc>
          <w:tcPr>
            <w:tcW w:w="3113"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1476" w:type="dxa"/>
            <w:gridSpan w:val="3"/>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2346" w:type="dxa"/>
            <w:tcBorders>
              <w:top w:val="nil"/>
              <w:left w:val="nil"/>
              <w:bottom w:val="single" w:color="auto" w:sz="4" w:space="0"/>
              <w:right w:val="single" w:color="auto"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其他资金</w:t>
            </w:r>
            <w:r>
              <w:rPr>
                <w:rFonts w:hint="eastAsia" w:ascii="宋体" w:hAnsi="宋体" w:cs="宋体"/>
                <w:color w:val="000000"/>
                <w:kern w:val="0"/>
                <w:sz w:val="18"/>
                <w:szCs w:val="18"/>
              </w:rPr>
              <w:t xml:space="preserve">   </w:t>
            </w:r>
          </w:p>
        </w:tc>
        <w:tc>
          <w:tcPr>
            <w:tcW w:w="3113"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1476" w:type="dxa"/>
            <w:gridSpan w:val="3"/>
            <w:tcBorders>
              <w:top w:val="single" w:color="auto" w:sz="4" w:space="0"/>
              <w:left w:val="nil"/>
              <w:bottom w:val="single" w:color="auto" w:sz="4" w:space="0"/>
              <w:right w:val="single" w:color="000000" w:sz="4" w:space="0"/>
            </w:tcBorders>
            <w:vAlign w:val="center"/>
          </w:tcPr>
          <w:p>
            <w:pPr>
              <w:rPr>
                <w:rFonts w:ascii="宋体" w:hAnsi="宋体" w:cs="宋体"/>
                <w:color w:val="000000"/>
                <w:kern w:val="0"/>
                <w:sz w:val="20"/>
                <w:szCs w:val="20"/>
              </w:rPr>
            </w:pP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40" w:hRule="exact"/>
          <w:jc w:val="center"/>
        </w:trPr>
        <w:tc>
          <w:tcPr>
            <w:tcW w:w="0" w:type="auto"/>
            <w:vMerge w:val="restart"/>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总体</w:t>
            </w:r>
          </w:p>
          <w:p>
            <w:pPr>
              <w:rPr>
                <w:rFonts w:hint="eastAsia" w:ascii="宋体" w:hAnsi="宋体" w:cs="宋体"/>
                <w:color w:val="000000"/>
                <w:kern w:val="0"/>
                <w:sz w:val="20"/>
                <w:szCs w:val="20"/>
              </w:rPr>
            </w:pPr>
            <w:r>
              <w:rPr>
                <w:rFonts w:hint="eastAsia" w:ascii="宋体" w:hAnsi="宋体" w:cs="宋体"/>
                <w:color w:val="000000"/>
                <w:kern w:val="0"/>
                <w:sz w:val="20"/>
                <w:szCs w:val="20"/>
              </w:rPr>
              <w:t>目标</w:t>
            </w:r>
          </w:p>
          <w:p>
            <w:pPr>
              <w:rPr>
                <w:rFonts w:hint="eastAsia" w:ascii="宋体" w:hAnsi="宋体" w:cs="宋体"/>
                <w:color w:val="000000"/>
                <w:kern w:val="0"/>
                <w:sz w:val="20"/>
                <w:szCs w:val="20"/>
              </w:rPr>
            </w:pPr>
            <w:r>
              <w:rPr>
                <w:rFonts w:hint="eastAsia" w:ascii="宋体" w:hAnsi="宋体" w:cs="宋体"/>
                <w:color w:val="000000"/>
                <w:kern w:val="0"/>
                <w:sz w:val="20"/>
                <w:szCs w:val="20"/>
              </w:rPr>
              <w:t>完成</w:t>
            </w:r>
          </w:p>
          <w:p>
            <w:pPr>
              <w:rPr>
                <w:rFonts w:ascii="宋体" w:hAnsi="宋体" w:cs="宋体"/>
                <w:color w:val="000000"/>
                <w:kern w:val="0"/>
                <w:sz w:val="20"/>
                <w:szCs w:val="20"/>
              </w:rPr>
            </w:pPr>
            <w:r>
              <w:rPr>
                <w:rFonts w:hint="eastAsia" w:ascii="宋体" w:hAnsi="宋体" w:cs="宋体"/>
                <w:color w:val="000000"/>
                <w:kern w:val="0"/>
                <w:sz w:val="20"/>
                <w:szCs w:val="20"/>
              </w:rPr>
              <w:t>情况</w:t>
            </w:r>
          </w:p>
        </w:tc>
        <w:tc>
          <w:tcPr>
            <w:tcW w:w="0" w:type="auto"/>
            <w:gridSpan w:val="3"/>
            <w:tcBorders>
              <w:top w:val="single" w:color="auto" w:sz="4" w:space="0"/>
              <w:left w:val="nil"/>
              <w:bottom w:val="single" w:color="auto" w:sz="4" w:space="0"/>
              <w:right w:val="single" w:color="000000" w:sz="4" w:space="0"/>
            </w:tcBorders>
            <w:vAlign w:val="center"/>
          </w:tcPr>
          <w:p>
            <w:pPr>
              <w:ind w:firstLine="1500" w:firstLineChars="750"/>
              <w:rPr>
                <w:rFonts w:ascii="宋体" w:hAnsi="宋体" w:cs="宋体"/>
                <w:color w:val="000000"/>
                <w:kern w:val="0"/>
                <w:sz w:val="20"/>
                <w:szCs w:val="20"/>
              </w:rPr>
            </w:pPr>
            <w:r>
              <w:rPr>
                <w:rFonts w:hint="eastAsia" w:ascii="宋体" w:hAnsi="宋体" w:cs="宋体"/>
                <w:color w:val="000000"/>
                <w:kern w:val="0"/>
                <w:sz w:val="20"/>
                <w:szCs w:val="20"/>
              </w:rPr>
              <w:t>总体目标</w:t>
            </w:r>
          </w:p>
        </w:tc>
        <w:tc>
          <w:tcPr>
            <w:tcW w:w="2562" w:type="dxa"/>
            <w:gridSpan w:val="4"/>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全年实际完成情况</w:t>
            </w:r>
          </w:p>
        </w:tc>
      </w:tr>
      <w:tr>
        <w:tblPrEx>
          <w:tblCellMar>
            <w:top w:w="0" w:type="dxa"/>
            <w:left w:w="108" w:type="dxa"/>
            <w:bottom w:w="0" w:type="dxa"/>
            <w:right w:w="108" w:type="dxa"/>
          </w:tblCellMar>
        </w:tblPrEx>
        <w:trPr>
          <w:trHeight w:val="6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kern w:val="0"/>
                <w:sz w:val="20"/>
                <w:szCs w:val="20"/>
              </w:rPr>
            </w:pPr>
          </w:p>
        </w:tc>
        <w:tc>
          <w:tcPr>
            <w:tcW w:w="0" w:type="auto"/>
            <w:gridSpan w:val="3"/>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eastAsia="宋体" w:cs="宋体"/>
                <w:i w:val="0"/>
                <w:iCs w:val="0"/>
                <w:caps w:val="0"/>
                <w:color w:val="000000"/>
                <w:spacing w:val="0"/>
                <w:sz w:val="24"/>
                <w:szCs w:val="24"/>
                <w:shd w:val="clear" w:fill="FFFFFF"/>
              </w:rPr>
              <w:t>规范预检分诊点、发热门诊筛查率达到90%；有效提升传染病防控能力、提升医院服务能力、保障人民群众身体健康</w:t>
            </w:r>
          </w:p>
        </w:tc>
        <w:tc>
          <w:tcPr>
            <w:tcW w:w="2562" w:type="dxa"/>
            <w:gridSpan w:val="4"/>
            <w:tcBorders>
              <w:top w:val="single" w:color="auto" w:sz="4" w:space="0"/>
              <w:left w:val="nil"/>
              <w:bottom w:val="single" w:color="auto" w:sz="4" w:space="0"/>
              <w:right w:val="single" w:color="auto" w:sz="4" w:space="0"/>
            </w:tcBorders>
            <w:vAlign w:val="center"/>
          </w:tcPr>
          <w:p>
            <w:pPr>
              <w:rPr>
                <w:rFonts w:hint="default" w:ascii="宋体" w:hAnsi="宋体" w:cs="宋体"/>
                <w:color w:val="000000"/>
                <w:kern w:val="0"/>
                <w:sz w:val="20"/>
                <w:szCs w:val="20"/>
                <w:lang w:val="en-US"/>
              </w:rPr>
            </w:pPr>
            <w:r>
              <w:rPr>
                <w:rFonts w:hint="eastAsia" w:ascii="宋体" w:hAnsi="宋体" w:eastAsia="宋体" w:cs="宋体"/>
                <w:i w:val="0"/>
                <w:iCs w:val="0"/>
                <w:caps w:val="0"/>
                <w:color w:val="000000"/>
                <w:spacing w:val="0"/>
                <w:sz w:val="24"/>
                <w:szCs w:val="24"/>
                <w:shd w:val="clear" w:fill="FFFFFF"/>
                <w:lang w:val="en-US" w:eastAsia="zh-CN"/>
              </w:rPr>
              <w:t>目前医院增加医疗业务门诊用房20间，住院病床20张；配置基础诊疗设备13台，项目建设完成率65%，2020年12月已完成1部电梯更换，待新电梯运行稳定后，2021年计划安装另一部旧电梯。</w:t>
            </w:r>
          </w:p>
        </w:tc>
      </w:tr>
      <w:tr>
        <w:tblPrEx>
          <w:tblCellMar>
            <w:top w:w="0" w:type="dxa"/>
            <w:left w:w="108" w:type="dxa"/>
            <w:bottom w:w="0" w:type="dxa"/>
            <w:right w:w="108" w:type="dxa"/>
          </w:tblCellMar>
        </w:tblPrEx>
        <w:trPr>
          <w:trHeight w:val="1020" w:hRule="exact"/>
          <w:jc w:val="center"/>
        </w:trPr>
        <w:tc>
          <w:tcPr>
            <w:tcW w:w="0" w:type="auto"/>
            <w:tcBorders>
              <w:top w:val="nil"/>
              <w:left w:val="single" w:color="auto" w:sz="4" w:space="0"/>
              <w:bottom w:val="single" w:color="auto" w:sz="4" w:space="0"/>
              <w:right w:val="single" w:color="auto" w:sz="4" w:space="0"/>
            </w:tcBorders>
            <w:textDirection w:val="tbRlV"/>
            <w:vAlign w:val="center"/>
          </w:tcPr>
          <w:p>
            <w:pPr>
              <w:ind w:firstLine="900" w:firstLineChars="450"/>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0" w:type="auto"/>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234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二级</w:t>
            </w:r>
          </w:p>
          <w:p>
            <w:pPr>
              <w:jc w:val="center"/>
              <w:rPr>
                <w:rFonts w:ascii="宋体" w:hAnsi="宋体" w:cs="宋体"/>
                <w:color w:val="000000"/>
                <w:kern w:val="0"/>
                <w:sz w:val="20"/>
                <w:szCs w:val="20"/>
              </w:rPr>
            </w:pPr>
            <w:r>
              <w:rPr>
                <w:rFonts w:hint="eastAsia" w:ascii="宋体" w:hAnsi="宋体" w:cs="宋体"/>
                <w:color w:val="000000"/>
                <w:kern w:val="0"/>
                <w:sz w:val="20"/>
                <w:szCs w:val="20"/>
              </w:rPr>
              <w:t>指标</w:t>
            </w:r>
          </w:p>
        </w:tc>
        <w:tc>
          <w:tcPr>
            <w:tcW w:w="311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86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年度指标值</w:t>
            </w:r>
          </w:p>
        </w:tc>
        <w:tc>
          <w:tcPr>
            <w:tcW w:w="616" w:type="dxa"/>
            <w:gridSpan w:val="2"/>
            <w:tcBorders>
              <w:top w:val="nil"/>
              <w:left w:val="nil"/>
              <w:bottom w:val="single" w:color="auto" w:sz="4" w:space="0"/>
              <w:right w:val="single" w:color="auto" w:sz="4" w:space="0"/>
            </w:tcBorders>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全年完成值</w:t>
            </w:r>
          </w:p>
        </w:tc>
        <w:tc>
          <w:tcPr>
            <w:tcW w:w="108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未完成原因和改进措施</w:t>
            </w:r>
          </w:p>
        </w:tc>
      </w:tr>
    </w:tbl>
    <w:p>
      <w:pPr>
        <w:rPr>
          <w:rFonts w:hint="eastAsia" w:eastAsiaTheme="minorEastAsia"/>
          <w:lang w:eastAsia="zh-CN"/>
        </w:rPr>
      </w:pPr>
    </w:p>
    <w:tbl>
      <w:tblPr>
        <w:tblStyle w:val="7"/>
        <w:tblpPr w:leftFromText="180" w:rightFromText="180" w:vertAnchor="text" w:tblpXSpec="center" w:tblpY="1"/>
        <w:tblOverlap w:val="never"/>
        <w:tblW w:w="9101" w:type="dxa"/>
        <w:jc w:val="center"/>
        <w:tblLayout w:type="autofit"/>
        <w:tblCellMar>
          <w:top w:w="0" w:type="dxa"/>
          <w:left w:w="108" w:type="dxa"/>
          <w:bottom w:w="0" w:type="dxa"/>
          <w:right w:w="108" w:type="dxa"/>
        </w:tblCellMar>
      </w:tblPr>
      <w:tblGrid>
        <w:gridCol w:w="466"/>
        <w:gridCol w:w="614"/>
        <w:gridCol w:w="2346"/>
        <w:gridCol w:w="3113"/>
        <w:gridCol w:w="860"/>
        <w:gridCol w:w="616"/>
        <w:gridCol w:w="1086"/>
      </w:tblGrid>
      <w:tr>
        <w:tblPrEx>
          <w:tblCellMar>
            <w:top w:w="0" w:type="dxa"/>
            <w:left w:w="108" w:type="dxa"/>
            <w:bottom w:w="0" w:type="dxa"/>
            <w:right w:w="108" w:type="dxa"/>
          </w:tblCellMar>
        </w:tblPrEx>
        <w:trPr>
          <w:trHeight w:val="1020" w:hRule="atLeast"/>
          <w:jc w:val="center"/>
        </w:trPr>
        <w:tc>
          <w:tcPr>
            <w:tcW w:w="0" w:type="auto"/>
            <w:vMerge w:val="restart"/>
            <w:tcBorders>
              <w:top w:val="nil"/>
              <w:left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产出指标</w:t>
            </w:r>
          </w:p>
        </w:tc>
        <w:tc>
          <w:tcPr>
            <w:tcW w:w="23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数量指标</w:t>
            </w:r>
          </w:p>
          <w:p>
            <w:pPr>
              <w:jc w:val="center"/>
              <w:rPr>
                <w:rFonts w:ascii="宋体" w:hAnsi="宋体" w:cs="宋体"/>
                <w:kern w:val="0"/>
                <w:sz w:val="20"/>
                <w:szCs w:val="20"/>
              </w:rPr>
            </w:pP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完成1号楼消防改造</w:t>
            </w:r>
          </w:p>
        </w:tc>
        <w:tc>
          <w:tcPr>
            <w:tcW w:w="860" w:type="dxa"/>
            <w:tcBorders>
              <w:top w:val="nil"/>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1套</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lang w:eastAsia="zh-CN"/>
              </w:rPr>
              <w:t>更换</w:t>
            </w:r>
            <w:r>
              <w:rPr>
                <w:rFonts w:hint="eastAsia" w:ascii="宋体" w:hAnsi="宋体" w:cs="宋体"/>
                <w:color w:val="000000"/>
                <w:kern w:val="0"/>
                <w:sz w:val="20"/>
                <w:szCs w:val="20"/>
              </w:rPr>
              <w:t>1号楼2部电梯</w:t>
            </w:r>
          </w:p>
        </w:tc>
        <w:tc>
          <w:tcPr>
            <w:tcW w:w="860" w:type="dxa"/>
            <w:tcBorders>
              <w:top w:val="nil"/>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2台</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08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highlight w:val="yellow"/>
                <w:lang w:val="en-US" w:eastAsia="zh-CN" w:bidi="ar-SA"/>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仪器设备采购数量（台）</w:t>
            </w:r>
          </w:p>
        </w:tc>
        <w:tc>
          <w:tcPr>
            <w:tcW w:w="860"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13台</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single" w:color="auto" w:sz="4" w:space="0"/>
              <w:left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lang w:eastAsia="zh-CN"/>
              </w:rPr>
              <w:t>质量</w:t>
            </w:r>
            <w:r>
              <w:rPr>
                <w:rFonts w:hint="eastAsia" w:ascii="宋体" w:hAnsi="宋体" w:cs="宋体"/>
                <w:kern w:val="0"/>
                <w:sz w:val="20"/>
                <w:szCs w:val="20"/>
              </w:rPr>
              <w:t>指标</w:t>
            </w: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设备按优质标准采购</w:t>
            </w:r>
          </w:p>
        </w:tc>
        <w:tc>
          <w:tcPr>
            <w:tcW w:w="86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≧95%</w:t>
            </w:r>
          </w:p>
        </w:tc>
        <w:tc>
          <w:tcPr>
            <w:tcW w:w="61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≧95%</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lang w:eastAsia="zh-CN"/>
              </w:rPr>
              <w:t>时效</w:t>
            </w:r>
            <w:r>
              <w:rPr>
                <w:rFonts w:hint="eastAsia" w:ascii="宋体" w:hAnsi="宋体" w:cs="宋体"/>
                <w:kern w:val="0"/>
                <w:sz w:val="20"/>
                <w:szCs w:val="20"/>
              </w:rPr>
              <w:t>指标</w:t>
            </w: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年内完成</w:t>
            </w:r>
            <w:r>
              <w:rPr>
                <w:rFonts w:hint="eastAsia" w:ascii="宋体" w:hAnsi="宋体" w:cs="宋体"/>
                <w:color w:val="000000"/>
                <w:kern w:val="0"/>
                <w:sz w:val="20"/>
                <w:szCs w:val="20"/>
                <w:lang w:eastAsia="zh-CN"/>
              </w:rPr>
              <w:t>设备</w:t>
            </w:r>
            <w:r>
              <w:rPr>
                <w:rFonts w:hint="eastAsia" w:ascii="宋体" w:hAnsi="宋体" w:cs="宋体"/>
                <w:color w:val="000000"/>
                <w:kern w:val="0"/>
                <w:sz w:val="20"/>
                <w:szCs w:val="20"/>
              </w:rPr>
              <w:t>采购</w:t>
            </w:r>
          </w:p>
        </w:tc>
        <w:tc>
          <w:tcPr>
            <w:tcW w:w="860"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nil"/>
              <w:left w:val="nil"/>
              <w:bottom w:val="single" w:color="auto" w:sz="4" w:space="0"/>
              <w:right w:val="single" w:color="auto" w:sz="4" w:space="0"/>
            </w:tcBorders>
            <w:vAlign w:val="center"/>
          </w:tcPr>
          <w:p>
            <w:pPr>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时效</w:t>
            </w:r>
            <w:r>
              <w:rPr>
                <w:rFonts w:hint="eastAsia" w:ascii="宋体" w:hAnsi="宋体" w:cs="宋体"/>
                <w:kern w:val="0"/>
                <w:sz w:val="20"/>
                <w:szCs w:val="20"/>
              </w:rPr>
              <w:t>指标</w:t>
            </w: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年内完成</w:t>
            </w:r>
            <w:r>
              <w:rPr>
                <w:rFonts w:hint="eastAsia" w:ascii="宋体" w:hAnsi="宋体" w:cs="宋体"/>
                <w:color w:val="000000"/>
                <w:kern w:val="0"/>
                <w:sz w:val="20"/>
                <w:szCs w:val="20"/>
                <w:lang w:eastAsia="zh-CN"/>
              </w:rPr>
              <w:t>项目</w:t>
            </w:r>
            <w:r>
              <w:rPr>
                <w:rFonts w:hint="eastAsia" w:ascii="宋体" w:hAnsi="宋体" w:cs="宋体"/>
                <w:color w:val="000000"/>
                <w:kern w:val="0"/>
                <w:sz w:val="20"/>
                <w:szCs w:val="20"/>
              </w:rPr>
              <w:t>建设</w:t>
            </w:r>
          </w:p>
        </w:tc>
        <w:tc>
          <w:tcPr>
            <w:tcW w:w="860"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bidi="ar-SA"/>
              </w:rPr>
              <w:t>100%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bidi="ar-SA"/>
              </w:rPr>
              <w:t>65%</w:t>
            </w:r>
          </w:p>
        </w:tc>
        <w:tc>
          <w:tcPr>
            <w:tcW w:w="108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highlight w:val="yellow"/>
                <w:lang w:val="en-US" w:eastAsia="zh-CN" w:bidi="ar-SA"/>
              </w:rPr>
            </w:pPr>
            <w:r>
              <w:rPr>
                <w:rFonts w:hint="eastAsia"/>
              </w:rPr>
              <w:t>2020年</w:t>
            </w:r>
            <w:r>
              <w:rPr>
                <w:rFonts w:hint="eastAsia"/>
                <w:lang w:val="en-US" w:eastAsia="zh-CN"/>
              </w:rPr>
              <w:t>12月末</w:t>
            </w:r>
            <w:r>
              <w:rPr>
                <w:rFonts w:hint="eastAsia"/>
                <w:lang w:eastAsia="zh-CN"/>
              </w:rPr>
              <w:t>已</w:t>
            </w:r>
            <w:r>
              <w:rPr>
                <w:rFonts w:hint="eastAsia"/>
              </w:rPr>
              <w:t>完成</w:t>
            </w:r>
            <w:r>
              <w:rPr>
                <w:rFonts w:hint="eastAsia"/>
                <w:lang w:val="en-US" w:eastAsia="zh-CN"/>
              </w:rPr>
              <w:t>1部电梯</w:t>
            </w:r>
            <w:r>
              <w:rPr>
                <w:rFonts w:hint="eastAsia"/>
              </w:rPr>
              <w:t>更换，待新电梯运行稳定后，今年计划更换另一部旧电梯</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nil"/>
              <w:left w:val="nil"/>
              <w:bottom w:val="single" w:color="auto" w:sz="4" w:space="0"/>
              <w:right w:val="single" w:color="auto" w:sz="4" w:space="0"/>
            </w:tcBorders>
            <w:vAlign w:val="center"/>
          </w:tcPr>
          <w:p>
            <w:pPr>
              <w:jc w:val="center"/>
              <w:rPr>
                <w:rFonts w:hint="eastAsia" w:ascii="宋体" w:hAnsi="宋体" w:cs="宋体" w:eastAsiaTheme="minorEastAsia"/>
                <w:kern w:val="0"/>
                <w:sz w:val="20"/>
                <w:szCs w:val="20"/>
                <w:lang w:val="en-US" w:eastAsia="zh-CN" w:bidi="ar-SA"/>
              </w:rPr>
            </w:pPr>
            <w:r>
              <w:rPr>
                <w:rFonts w:hint="eastAsia" w:ascii="宋体" w:hAnsi="宋体" w:cs="宋体"/>
                <w:kern w:val="0"/>
                <w:sz w:val="20"/>
                <w:szCs w:val="20"/>
                <w:lang w:eastAsia="zh-CN"/>
              </w:rPr>
              <w:t>成本指标</w:t>
            </w:r>
          </w:p>
        </w:tc>
        <w:tc>
          <w:tcPr>
            <w:tcW w:w="3113" w:type="dxa"/>
            <w:tcBorders>
              <w:top w:val="single" w:color="auto" w:sz="4" w:space="0"/>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rPr>
              <w:t>不超预算使用</w:t>
            </w:r>
          </w:p>
        </w:tc>
        <w:tc>
          <w:tcPr>
            <w:tcW w:w="860" w:type="dxa"/>
            <w:tcBorders>
              <w:top w:val="nil"/>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100%</w:t>
            </w:r>
          </w:p>
        </w:tc>
        <w:tc>
          <w:tcPr>
            <w:tcW w:w="616" w:type="dxa"/>
            <w:tcBorders>
              <w:top w:val="nil"/>
              <w:left w:val="nil"/>
              <w:bottom w:val="single" w:color="auto" w:sz="4" w:space="0"/>
              <w:right w:val="single" w:color="auto" w:sz="4" w:space="0"/>
            </w:tcBorders>
            <w:vAlign w:val="center"/>
          </w:tcPr>
          <w:p>
            <w:pPr>
              <w:rPr>
                <w:rFonts w:hint="eastAsia" w:ascii="宋体" w:hAnsi="宋体" w:cs="宋体" w:eastAsiaTheme="minorEastAsia"/>
                <w:color w:val="000000"/>
                <w:kern w:val="0"/>
                <w:sz w:val="20"/>
                <w:szCs w:val="20"/>
                <w:lang w:val="en-US" w:eastAsia="zh-CN" w:bidi="ar-SA"/>
              </w:rPr>
            </w:pPr>
            <w:r>
              <w:rPr>
                <w:rFonts w:hint="eastAsia" w:ascii="宋体" w:hAnsi="宋体" w:cs="宋体"/>
                <w:color w:val="000000"/>
                <w:kern w:val="0"/>
                <w:sz w:val="20"/>
                <w:szCs w:val="20"/>
                <w:lang w:val="en-US" w:eastAsia="zh-CN"/>
              </w:rPr>
              <w:t>100%</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25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社会效益指标</w:t>
            </w:r>
          </w:p>
        </w:tc>
        <w:tc>
          <w:tcPr>
            <w:tcW w:w="31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完善医院诊疗能力，提升医院服务质量，改善就诊环境</w:t>
            </w:r>
          </w:p>
        </w:tc>
        <w:tc>
          <w:tcPr>
            <w:tcW w:w="8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rPr>
              <w:t>提升医院服务能力、保障人民群众身体健康</w:t>
            </w:r>
          </w:p>
        </w:tc>
        <w:tc>
          <w:tcPr>
            <w:tcW w:w="6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108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满意度指标</w:t>
            </w:r>
          </w:p>
        </w:tc>
        <w:tc>
          <w:tcPr>
            <w:tcW w:w="234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服务对象满意度指标</w:t>
            </w: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lang w:eastAsia="zh-CN"/>
              </w:rPr>
              <w:t>患者</w:t>
            </w:r>
            <w:r>
              <w:rPr>
                <w:rFonts w:hint="eastAsia"/>
              </w:rPr>
              <w:t>满意度</w:t>
            </w:r>
          </w:p>
        </w:tc>
        <w:tc>
          <w:tcPr>
            <w:tcW w:w="860"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10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2346" w:type="dxa"/>
            <w:vMerge w:val="continue"/>
            <w:tcBorders>
              <w:top w:val="nil"/>
              <w:left w:val="single" w:color="auto" w:sz="4" w:space="0"/>
              <w:bottom w:val="single" w:color="auto" w:sz="4" w:space="0"/>
              <w:right w:val="single" w:color="auto" w:sz="4" w:space="0"/>
            </w:tcBorders>
            <w:vAlign w:val="center"/>
          </w:tcPr>
          <w:p>
            <w:pPr>
              <w:rPr>
                <w:rFonts w:ascii="宋体" w:hAnsi="宋体" w:cs="宋体"/>
                <w:kern w:val="0"/>
                <w:sz w:val="20"/>
                <w:szCs w:val="20"/>
              </w:rPr>
            </w:pPr>
          </w:p>
        </w:tc>
        <w:tc>
          <w:tcPr>
            <w:tcW w:w="3113"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rPr>
              <w:t>医院职工满意度</w:t>
            </w:r>
          </w:p>
        </w:tc>
        <w:tc>
          <w:tcPr>
            <w:tcW w:w="860"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616" w:type="dxa"/>
            <w:tcBorders>
              <w:top w:val="nil"/>
              <w:left w:val="nil"/>
              <w:bottom w:val="single" w:color="auto" w:sz="4" w:space="0"/>
              <w:right w:val="single" w:color="auto" w:sz="4" w:space="0"/>
            </w:tcBorders>
            <w:vAlign w:val="center"/>
          </w:tcPr>
          <w:p>
            <w:pP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90%</w:t>
            </w:r>
          </w:p>
        </w:tc>
        <w:tc>
          <w:tcPr>
            <w:tcW w:w="1086"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说明</w:t>
            </w:r>
          </w:p>
        </w:tc>
        <w:tc>
          <w:tcPr>
            <w:tcW w:w="8635"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请在此处简要说明中央巡视、各级审计和财政监督中发现的问题及其所涉及的金额，如没有请填无。</w:t>
            </w:r>
          </w:p>
        </w:tc>
      </w:tr>
      <w:tr>
        <w:tblPrEx>
          <w:tblCellMar>
            <w:top w:w="0" w:type="dxa"/>
            <w:left w:w="108" w:type="dxa"/>
            <w:bottom w:w="0" w:type="dxa"/>
            <w:right w:w="108" w:type="dxa"/>
          </w:tblCellMar>
        </w:tblPrEx>
        <w:trPr>
          <w:trHeight w:val="540" w:hRule="atLeast"/>
          <w:jc w:val="center"/>
        </w:trPr>
        <w:tc>
          <w:tcPr>
            <w:tcW w:w="9101" w:type="dxa"/>
            <w:gridSpan w:val="7"/>
            <w:vAlign w:val="center"/>
          </w:tcPr>
          <w:p>
            <w:pPr>
              <w:rPr>
                <w:rFonts w:ascii="宋体" w:hAnsi="宋体" w:cs="宋体"/>
                <w:color w:val="000000"/>
                <w:kern w:val="0"/>
                <w:sz w:val="18"/>
                <w:szCs w:val="18"/>
              </w:rPr>
            </w:pPr>
            <w:r>
              <w:rPr>
                <w:rFonts w:hint="eastAsia" w:ascii="宋体" w:hAnsi="宋体" w:cs="宋体"/>
                <w:color w:val="000000"/>
                <w:kern w:val="0"/>
                <w:sz w:val="18"/>
                <w:szCs w:val="18"/>
              </w:rPr>
              <w:t>注：1.资金使用单位按项目绩效目标填报，主管部门汇总时按区域绩效目标填报。</w:t>
            </w:r>
          </w:p>
          <w:p>
            <w:pPr>
              <w:ind w:firstLine="360" w:firstLineChars="200"/>
              <w:rPr>
                <w:rFonts w:ascii="宋体" w:hAnsi="宋体" w:cs="宋体"/>
                <w:color w:val="000000"/>
                <w:kern w:val="0"/>
                <w:sz w:val="18"/>
                <w:szCs w:val="18"/>
              </w:rPr>
            </w:pPr>
            <w:r>
              <w:rPr>
                <w:rFonts w:hint="eastAsia" w:ascii="宋体" w:hAnsi="宋体" w:cs="宋体"/>
                <w:color w:val="000000"/>
                <w:kern w:val="0"/>
                <w:sz w:val="18"/>
                <w:szCs w:val="18"/>
              </w:rPr>
              <w:t>2.其他资金包括与中央财政资金、地方财政资金共同投入到同一项目的自有资金、社会资金，以及以前年度的结转结余资金等。</w:t>
            </w:r>
          </w:p>
        </w:tc>
      </w:tr>
      <w:tr>
        <w:tblPrEx>
          <w:tblCellMar>
            <w:top w:w="0" w:type="dxa"/>
            <w:left w:w="108" w:type="dxa"/>
            <w:bottom w:w="0" w:type="dxa"/>
            <w:right w:w="108" w:type="dxa"/>
          </w:tblCellMar>
        </w:tblPrEx>
        <w:trPr>
          <w:trHeight w:val="510" w:hRule="atLeast"/>
          <w:jc w:val="center"/>
        </w:trPr>
        <w:tc>
          <w:tcPr>
            <w:tcW w:w="9101" w:type="dxa"/>
            <w:gridSpan w:val="7"/>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    3.全年执行数是指按照国库集中支付制度要求，支付到商品和劳务供应者或用款单位形成的实际支出。</w:t>
            </w:r>
          </w:p>
        </w:tc>
      </w:tr>
      <w:tr>
        <w:tblPrEx>
          <w:tblCellMar>
            <w:top w:w="0" w:type="dxa"/>
            <w:left w:w="108" w:type="dxa"/>
            <w:bottom w:w="0" w:type="dxa"/>
            <w:right w:w="108" w:type="dxa"/>
          </w:tblCellMar>
        </w:tblPrEx>
        <w:trPr>
          <w:trHeight w:val="270" w:hRule="atLeast"/>
          <w:jc w:val="center"/>
        </w:trPr>
        <w:tc>
          <w:tcPr>
            <w:tcW w:w="9101" w:type="dxa"/>
            <w:gridSpan w:val="7"/>
            <w:vAlign w:val="center"/>
          </w:tcPr>
          <w:p>
            <w:pPr>
              <w:rPr>
                <w:rFonts w:ascii="宋体" w:hAnsi="宋体" w:cs="宋体"/>
                <w:color w:val="000000"/>
                <w:kern w:val="0"/>
                <w:sz w:val="18"/>
                <w:szCs w:val="18"/>
              </w:rPr>
            </w:pPr>
            <w:r>
              <w:rPr>
                <w:rFonts w:hint="eastAsia" w:ascii="宋体" w:hAnsi="宋体" w:cs="宋体"/>
                <w:color w:val="000000"/>
                <w:kern w:val="0"/>
                <w:sz w:val="18"/>
                <w:szCs w:val="18"/>
              </w:rPr>
              <w:t xml:space="preserve">   </w:t>
            </w:r>
            <w:r>
              <w:t xml:space="preserve"> </w:t>
            </w:r>
            <w:r>
              <w:rPr>
                <w:rFonts w:hint="eastAsia" w:ascii="宋体" w:hAnsi="宋体" w:cs="宋体"/>
                <w:color w:val="000000"/>
                <w:kern w:val="0"/>
                <w:sz w:val="18"/>
                <w:szCs w:val="18"/>
              </w:rPr>
              <w:t>4.定量指标。地方各级主管部门对资金使用单位填写的实际完成值汇总时，绝对值直接累加计算，相对值按照资金额度加权平均计算。</w:t>
            </w:r>
          </w:p>
        </w:tc>
      </w:tr>
    </w:tbl>
    <w:p>
      <w:pPr>
        <w:autoSpaceDE w:val="0"/>
        <w:autoSpaceDN w:val="0"/>
        <w:adjustRightInd w:val="0"/>
        <w:spacing w:line="580" w:lineRule="exact"/>
        <w:ind w:firstLine="360" w:firstLineChars="200"/>
        <w:jc w:val="left"/>
        <w:rPr>
          <w:rFonts w:hint="eastAsia" w:ascii="仿宋_GB2312" w:eastAsia="仿宋_GB2312" w:cs="仿宋_GB2312"/>
          <w:kern w:val="0"/>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宋体" w:hAnsi="宋体"/>
          <w:sz w:val="18"/>
          <w:szCs w:val="18"/>
        </w:rPr>
        <w:t>5.定性指标。资金使用单位分别按照100%-80%（含）、80%-60%（含）、60%-0%合理填写实际完成。地方各级主管部门汇总时，按照资金额度加权平均计算。</w:t>
      </w: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-15875</wp:posOffset>
                </wp:positionV>
                <wp:extent cx="904875" cy="19050"/>
                <wp:effectExtent l="0" t="4445" r="9525" b="5080"/>
                <wp:wrapNone/>
                <wp:docPr id="2" name="直接箭头连接符 2"/>
                <wp:cNvGraphicFramePr/>
                <a:graphic xmlns:a="http://schemas.openxmlformats.org/drawingml/2006/main">
                  <a:graphicData uri="http://schemas.microsoft.com/office/word/2010/wordprocessingShape">
                    <wps:wsp>
                      <wps:cNvCnPr/>
                      <wps:spPr>
                        <a:xfrm>
                          <a:off x="0" y="0"/>
                          <a:ext cx="90487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5pt;margin-top:-1.25pt;height:1.5pt;width:71.25pt;z-index:251660288;mso-width-relative:page;mso-height-relative:page;" filled="f" stroked="t" coordsize="21600,21600" o:gfxdata="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aNKtnUAAAABQEAAA8AAAAAAAAAAQAgAAAAIgAAAGRycy9kb3ducmV2&#10;LnhtbFBLAQIUABQAAAAIAIdO4kBatg5ZAAIAAO8DAAAOAAAAAAAAAAEAIAAAACMBAABkcnMvZTJv&#10;RG9jLnhtbFBLBQYAAAAABgAGAFkBAACVBQAAAAA=&#10;">
                <v:fill on="f" focussize="0,0"/>
                <v:stroke color="#000000" joinstyle="round"/>
                <v:imagedata o:title=""/>
                <o:lock v:ext="edit" aspectratio="f"/>
              </v:shape>
            </w:pict>
          </mc:Fallback>
        </mc:AlternateContent>
      </w:r>
      <w: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19</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r>
        <w:rPr>
          <w:rFonts w:hint="eastAsia" w:ascii="仿宋_GB2312" w:eastAsia="仿宋_GB2312"/>
          <w:bCs/>
          <w:sz w:val="32"/>
          <w:szCs w:val="32"/>
          <w:lang w:val="en-US" w:eastAsia="zh-CN"/>
        </w:rPr>
        <w:t>医疗收入、科教收入、视光收入。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hint="eastAsia" w:ascii="仿宋_GB2312" w:eastAsia="仿宋_GB2312"/>
          <w:bCs/>
          <w:sz w:val="32"/>
          <w:szCs w:val="32"/>
          <w:lang w:val="en-US" w:eastAsia="zh-CN"/>
        </w:rPr>
        <w:t>现金盘盈收入、其他收入。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42C335B8"/>
    <w:multiLevelType w:val="singleLevel"/>
    <w:tmpl w:val="42C335B8"/>
    <w:lvl w:ilvl="0" w:tentative="0">
      <w:start w:val="1"/>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C256E3D"/>
    <w:rsid w:val="00066CA3"/>
    <w:rsid w:val="006C1367"/>
    <w:rsid w:val="00715385"/>
    <w:rsid w:val="00F66C5B"/>
    <w:rsid w:val="0301013E"/>
    <w:rsid w:val="051E6957"/>
    <w:rsid w:val="05EA49C2"/>
    <w:rsid w:val="06CB3FFB"/>
    <w:rsid w:val="073C3484"/>
    <w:rsid w:val="07A978E1"/>
    <w:rsid w:val="0DA86951"/>
    <w:rsid w:val="0DE8457D"/>
    <w:rsid w:val="0E074DDF"/>
    <w:rsid w:val="0F5C24C2"/>
    <w:rsid w:val="109E1DCD"/>
    <w:rsid w:val="124204B5"/>
    <w:rsid w:val="169250B6"/>
    <w:rsid w:val="182962AB"/>
    <w:rsid w:val="19D073EB"/>
    <w:rsid w:val="1CC31F67"/>
    <w:rsid w:val="204F6754"/>
    <w:rsid w:val="2199060D"/>
    <w:rsid w:val="22936EA8"/>
    <w:rsid w:val="24D337DC"/>
    <w:rsid w:val="26460DBA"/>
    <w:rsid w:val="2B6F74EB"/>
    <w:rsid w:val="2C4219FE"/>
    <w:rsid w:val="2D1C2858"/>
    <w:rsid w:val="2E6C7E24"/>
    <w:rsid w:val="30BC5FD7"/>
    <w:rsid w:val="3181598E"/>
    <w:rsid w:val="34020F86"/>
    <w:rsid w:val="35D244DF"/>
    <w:rsid w:val="39A63F06"/>
    <w:rsid w:val="39C12607"/>
    <w:rsid w:val="3A30355E"/>
    <w:rsid w:val="3A8816DA"/>
    <w:rsid w:val="3B472C06"/>
    <w:rsid w:val="3BF167E6"/>
    <w:rsid w:val="3D68071D"/>
    <w:rsid w:val="3D753FF3"/>
    <w:rsid w:val="3ED1439F"/>
    <w:rsid w:val="3F173453"/>
    <w:rsid w:val="415C3AEF"/>
    <w:rsid w:val="417E2684"/>
    <w:rsid w:val="433E43F1"/>
    <w:rsid w:val="43EF40D6"/>
    <w:rsid w:val="44500BF5"/>
    <w:rsid w:val="47B633B7"/>
    <w:rsid w:val="47BE79CA"/>
    <w:rsid w:val="48374EDC"/>
    <w:rsid w:val="48890E84"/>
    <w:rsid w:val="48A22F63"/>
    <w:rsid w:val="49763E8E"/>
    <w:rsid w:val="4B19696A"/>
    <w:rsid w:val="4BF3151D"/>
    <w:rsid w:val="4C1B2A98"/>
    <w:rsid w:val="4C256E3D"/>
    <w:rsid w:val="4CB52F0F"/>
    <w:rsid w:val="50A66A91"/>
    <w:rsid w:val="52FE3862"/>
    <w:rsid w:val="532F1F9A"/>
    <w:rsid w:val="54190364"/>
    <w:rsid w:val="54503F45"/>
    <w:rsid w:val="55094BBE"/>
    <w:rsid w:val="55104A18"/>
    <w:rsid w:val="5586667C"/>
    <w:rsid w:val="581F432A"/>
    <w:rsid w:val="59C3610F"/>
    <w:rsid w:val="59CB0E59"/>
    <w:rsid w:val="5ADD6A63"/>
    <w:rsid w:val="5DBC7D0D"/>
    <w:rsid w:val="5E995A3E"/>
    <w:rsid w:val="6169362A"/>
    <w:rsid w:val="62163194"/>
    <w:rsid w:val="624D024D"/>
    <w:rsid w:val="650E086A"/>
    <w:rsid w:val="6BAA0708"/>
    <w:rsid w:val="6C9A05F7"/>
    <w:rsid w:val="6CF9131C"/>
    <w:rsid w:val="72BD3FFC"/>
    <w:rsid w:val="73C710F4"/>
    <w:rsid w:val="768265F5"/>
    <w:rsid w:val="7743673C"/>
    <w:rsid w:val="78336A5E"/>
    <w:rsid w:val="78BD4B9B"/>
    <w:rsid w:val="78C86CFE"/>
    <w:rsid w:val="7A937C50"/>
    <w:rsid w:val="7AB6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40" w:lineRule="exact"/>
      <w:jc w:val="center"/>
    </w:pPr>
    <w:rPr>
      <w:rFonts w:ascii="华文中宋" w:eastAsia="华文中宋"/>
      <w:b/>
      <w:bCs/>
      <w:sz w:val="44"/>
      <w:szCs w:val="24"/>
    </w:rPr>
  </w:style>
  <w:style w:type="paragraph" w:styleId="3">
    <w:name w:val="Title"/>
    <w:basedOn w:val="1"/>
    <w:next w:val="1"/>
    <w:qFormat/>
    <w:uiPriority w:val="10"/>
    <w:pPr>
      <w:spacing w:before="60" w:after="120" w:line="560" w:lineRule="exact"/>
      <w:jc w:val="center"/>
      <w:outlineLvl w:val="0"/>
    </w:pPr>
    <w:rPr>
      <w:rFonts w:eastAsia="方正小标宋简体"/>
      <w:bCs/>
      <w:sz w:val="44"/>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批注框文本 Char"/>
    <w:basedOn w:val="8"/>
    <w:link w:val="4"/>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uiPriority w:val="0"/>
    <w:rPr>
      <w:rFonts w:hint="eastAsia" w:ascii="宋体" w:hAnsi="宋体" w:eastAsia="宋体" w:cs="宋体"/>
      <w:color w:val="000000"/>
      <w:sz w:val="24"/>
      <w:szCs w:val="24"/>
      <w:u w:val="none"/>
    </w:rPr>
  </w:style>
  <w:style w:type="character" w:customStyle="1" w:styleId="13">
    <w:name w:val="font13"/>
    <w:basedOn w:val="8"/>
    <w:uiPriority w:val="0"/>
    <w:rPr>
      <w:rFonts w:hint="eastAsia" w:ascii="宋体" w:hAnsi="宋体" w:eastAsia="宋体" w:cs="宋体"/>
      <w:color w:val="000000"/>
      <w:sz w:val="18"/>
      <w:szCs w:val="18"/>
      <w:u w:val="none"/>
    </w:rPr>
  </w:style>
  <w:style w:type="character" w:customStyle="1" w:styleId="14">
    <w:name w:val="font111"/>
    <w:basedOn w:val="8"/>
    <w:uiPriority w:val="0"/>
    <w:rPr>
      <w:rFonts w:hint="eastAsia" w:ascii="宋体" w:hAnsi="宋体" w:eastAsia="宋体" w:cs="宋体"/>
      <w:color w:val="000000"/>
      <w:sz w:val="20"/>
      <w:szCs w:val="20"/>
      <w:u w:val="none"/>
    </w:rPr>
  </w:style>
  <w:style w:type="character" w:customStyle="1" w:styleId="15">
    <w:name w:val="font12"/>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8969</Words>
  <Characters>12316</Characters>
  <Lines>60</Lines>
  <Paragraphs>17</Paragraphs>
  <TotalTime>3</TotalTime>
  <ScaleCrop>false</ScaleCrop>
  <LinksUpToDate>false</LinksUpToDate>
  <CharactersWithSpaces>13040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哒哒陳</cp:lastModifiedBy>
  <cp:lastPrinted>2021-07-07T01:10:00Z</cp:lastPrinted>
  <dcterms:modified xsi:type="dcterms:W3CDTF">2022-07-08T10:00:50Z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CDC5DFFD79274075A3635A96C1A20D33</vt:lpwstr>
  </property>
</Properties>
</file>