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9179A">
      <w:pPr>
        <w:rPr>
          <w:rFonts w:ascii="仿宋_GB2312" w:eastAsia="仿宋_GB2312" w:cs="ArialUnicodeMS"/>
          <w:color w:val="auto"/>
          <w:kern w:val="0"/>
          <w:sz w:val="32"/>
          <w:szCs w:val="32"/>
          <w:highlight w:val="none"/>
        </w:rPr>
      </w:pPr>
    </w:p>
    <w:p w14:paraId="5ADFF3BA">
      <w:pPr>
        <w:rPr>
          <w:rFonts w:ascii="黑体" w:eastAsia="黑体" w:cs="ArialUnicodeMS"/>
          <w:color w:val="auto"/>
          <w:kern w:val="0"/>
          <w:sz w:val="72"/>
          <w:szCs w:val="72"/>
          <w:highlight w:val="none"/>
        </w:rPr>
      </w:pPr>
    </w:p>
    <w:p w14:paraId="3B12D742">
      <w:pPr>
        <w:rPr>
          <w:rFonts w:ascii="黑体" w:eastAsia="黑体" w:cs="ArialUnicodeMS"/>
          <w:color w:val="auto"/>
          <w:kern w:val="0"/>
          <w:sz w:val="72"/>
          <w:szCs w:val="72"/>
          <w:highlight w:val="none"/>
        </w:rPr>
      </w:pPr>
    </w:p>
    <w:p w14:paraId="441BF5A1">
      <w:pPr>
        <w:jc w:val="center"/>
        <w:rPr>
          <w:rFonts w:hint="eastAsia" w:ascii="黑体" w:hAnsi="黑体" w:eastAsia="黑体"/>
          <w:bCs/>
          <w:color w:val="auto"/>
          <w:sz w:val="52"/>
          <w:szCs w:val="52"/>
          <w:highlight w:val="none"/>
          <w:lang w:eastAsia="zh-CN"/>
        </w:rPr>
      </w:pPr>
      <w:r>
        <w:rPr>
          <w:rFonts w:hint="eastAsia" w:ascii="黑体" w:eastAsia="黑体" w:cs="ArialUnicodeMS"/>
          <w:color w:val="auto"/>
          <w:kern w:val="0"/>
          <w:sz w:val="52"/>
          <w:szCs w:val="52"/>
          <w:highlight w:val="none"/>
        </w:rPr>
        <w:t>柳州市</w:t>
      </w:r>
      <w:r>
        <w:rPr>
          <w:rFonts w:hint="eastAsia" w:ascii="黑体" w:hAnsi="黑体" w:eastAsia="黑体"/>
          <w:bCs/>
          <w:color w:val="auto"/>
          <w:sz w:val="52"/>
          <w:szCs w:val="52"/>
          <w:highlight w:val="none"/>
          <w:u w:val="none"/>
          <w:lang w:eastAsia="zh-CN"/>
        </w:rPr>
        <w:t>国资委</w:t>
      </w:r>
    </w:p>
    <w:p w14:paraId="50D1E83C">
      <w:pPr>
        <w:jc w:val="center"/>
        <w:rPr>
          <w:rFonts w:ascii="黑体" w:eastAsia="黑体" w:cs="ArialUnicodeMS"/>
          <w:color w:val="auto"/>
          <w:kern w:val="0"/>
          <w:sz w:val="52"/>
          <w:szCs w:val="52"/>
          <w:highlight w:val="none"/>
        </w:rPr>
      </w:pPr>
      <w:r>
        <w:rPr>
          <w:rFonts w:hint="eastAsia" w:ascii="黑体" w:eastAsia="黑体"/>
          <w:color w:val="auto"/>
          <w:kern w:val="0"/>
          <w:sz w:val="52"/>
          <w:szCs w:val="52"/>
          <w:highlight w:val="none"/>
        </w:rPr>
        <w:t>2020</w:t>
      </w:r>
      <w:r>
        <w:rPr>
          <w:rFonts w:hint="eastAsia" w:ascii="黑体" w:eastAsia="黑体" w:cs="ArialUnicodeMS"/>
          <w:color w:val="auto"/>
          <w:kern w:val="0"/>
          <w:sz w:val="52"/>
          <w:szCs w:val="52"/>
          <w:highlight w:val="none"/>
        </w:rPr>
        <w:t>年度部门决算</w:t>
      </w:r>
    </w:p>
    <w:p w14:paraId="01DFC661">
      <w:pPr>
        <w:rPr>
          <w:rFonts w:ascii="ArialUnicodeMS" w:eastAsia="ArialUnicodeMS" w:cs="ArialUnicodeMS"/>
          <w:color w:val="auto"/>
          <w:kern w:val="0"/>
          <w:sz w:val="84"/>
          <w:szCs w:val="84"/>
          <w:highlight w:val="none"/>
        </w:rPr>
      </w:pPr>
    </w:p>
    <w:p w14:paraId="7BF93DE2">
      <w:pPr>
        <w:rPr>
          <w:rFonts w:ascii="ArialUnicodeMS" w:eastAsia="ArialUnicodeMS" w:cs="ArialUnicodeMS"/>
          <w:color w:val="auto"/>
          <w:kern w:val="0"/>
          <w:sz w:val="84"/>
          <w:szCs w:val="84"/>
          <w:highlight w:val="none"/>
        </w:rPr>
      </w:pPr>
    </w:p>
    <w:p w14:paraId="7B00D8F6">
      <w:pPr>
        <w:rPr>
          <w:rFonts w:ascii="ArialUnicodeMS" w:eastAsia="ArialUnicodeMS" w:cs="ArialUnicodeMS"/>
          <w:color w:val="auto"/>
          <w:kern w:val="0"/>
          <w:sz w:val="84"/>
          <w:szCs w:val="84"/>
          <w:highlight w:val="none"/>
        </w:rPr>
      </w:pPr>
    </w:p>
    <w:p w14:paraId="49A472F3">
      <w:pPr>
        <w:rPr>
          <w:rFonts w:ascii="ArialUnicodeMS" w:eastAsia="ArialUnicodeMS" w:cs="ArialUnicodeMS"/>
          <w:color w:val="auto"/>
          <w:kern w:val="0"/>
          <w:sz w:val="84"/>
          <w:szCs w:val="84"/>
          <w:highlight w:val="none"/>
        </w:rPr>
      </w:pPr>
    </w:p>
    <w:p w14:paraId="36893D1E">
      <w:pPr>
        <w:rPr>
          <w:rFonts w:ascii="ArialUnicodeMS" w:eastAsia="ArialUnicodeMS" w:cs="ArialUnicodeMS"/>
          <w:color w:val="auto"/>
          <w:kern w:val="0"/>
          <w:sz w:val="84"/>
          <w:szCs w:val="84"/>
          <w:highlight w:val="none"/>
        </w:rPr>
      </w:pPr>
    </w:p>
    <w:p w14:paraId="213985D7">
      <w:pPr>
        <w:rPr>
          <w:rFonts w:ascii="ArialUnicodeMS" w:eastAsia="ArialUnicodeMS" w:cs="ArialUnicodeMS"/>
          <w:color w:val="auto"/>
          <w:kern w:val="0"/>
          <w:sz w:val="84"/>
          <w:szCs w:val="84"/>
          <w:highlight w:val="none"/>
        </w:rPr>
      </w:pPr>
    </w:p>
    <w:p w14:paraId="4B28F833">
      <w:pPr>
        <w:rPr>
          <w:rFonts w:ascii="ArialUnicodeMS" w:eastAsia="ArialUnicodeMS" w:cs="ArialUnicodeMS"/>
          <w:color w:val="auto"/>
          <w:kern w:val="0"/>
          <w:sz w:val="84"/>
          <w:szCs w:val="84"/>
          <w:highlight w:val="none"/>
        </w:rPr>
      </w:pPr>
    </w:p>
    <w:p w14:paraId="5BAB6805">
      <w:pPr>
        <w:jc w:val="center"/>
        <w:rPr>
          <w:rFonts w:ascii="黑体" w:eastAsia="黑体" w:cs="黑体"/>
          <w:color w:val="auto"/>
          <w:kern w:val="0"/>
          <w:sz w:val="44"/>
          <w:szCs w:val="44"/>
          <w:highlight w:val="none"/>
        </w:rPr>
      </w:pPr>
    </w:p>
    <w:p w14:paraId="2B7D3831">
      <w:pPr>
        <w:ind w:firstLine="646"/>
        <w:jc w:val="center"/>
        <w:rPr>
          <w:rFonts w:ascii="方正小标宋简体" w:eastAsia="方正小标宋简体"/>
          <w:b/>
          <w:color w:val="auto"/>
          <w:sz w:val="44"/>
          <w:szCs w:val="44"/>
          <w:highlight w:val="none"/>
        </w:rPr>
      </w:pPr>
      <w:r>
        <w:rPr>
          <w:rFonts w:hint="eastAsia" w:ascii="方正小标宋简体" w:eastAsia="方正小标宋简体"/>
          <w:b/>
          <w:color w:val="auto"/>
          <w:sz w:val="44"/>
          <w:szCs w:val="44"/>
          <w:highlight w:val="none"/>
        </w:rPr>
        <w:t>目    录</w:t>
      </w:r>
    </w:p>
    <w:p w14:paraId="359B5E7E">
      <w:pPr>
        <w:ind w:firstLine="645"/>
        <w:rPr>
          <w:rFonts w:ascii="仿宋_GB2312" w:eastAsia="仿宋_GB2312"/>
          <w:b/>
          <w:color w:val="auto"/>
          <w:sz w:val="32"/>
          <w:szCs w:val="32"/>
          <w:highlight w:val="none"/>
        </w:rPr>
      </w:pPr>
    </w:p>
    <w:p w14:paraId="34C71F51">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第一部分：</w:t>
      </w:r>
      <w:r>
        <w:rPr>
          <w:rFonts w:hint="eastAsia" w:ascii="仿宋_GB2312" w:hAnsi="黑体" w:eastAsia="仿宋_GB2312"/>
          <w:b/>
          <w:bCs/>
          <w:color w:val="auto"/>
          <w:sz w:val="32"/>
          <w:szCs w:val="32"/>
          <w:highlight w:val="none"/>
          <w:u w:val="none"/>
          <w:lang w:eastAsia="zh-CN"/>
        </w:rPr>
        <w:t>柳州市国资委</w:t>
      </w:r>
      <w:r>
        <w:rPr>
          <w:rFonts w:hint="eastAsia" w:ascii="仿宋_GB2312" w:eastAsia="仿宋_GB2312"/>
          <w:b/>
          <w:color w:val="auto"/>
          <w:sz w:val="32"/>
          <w:szCs w:val="32"/>
          <w:highlight w:val="none"/>
        </w:rPr>
        <w:t>概况</w:t>
      </w:r>
    </w:p>
    <w:p w14:paraId="4F0783E5">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一、主要职能</w:t>
      </w:r>
    </w:p>
    <w:p w14:paraId="3EFAED86">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二、部门决算单位构成</w:t>
      </w:r>
    </w:p>
    <w:p w14:paraId="04214315">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第二部分：</w:t>
      </w:r>
      <w:r>
        <w:rPr>
          <w:rFonts w:hint="eastAsia" w:ascii="仿宋_GB2312" w:hAnsi="黑体" w:eastAsia="仿宋_GB2312"/>
          <w:b/>
          <w:bCs/>
          <w:color w:val="auto"/>
          <w:sz w:val="32"/>
          <w:szCs w:val="32"/>
          <w:highlight w:val="none"/>
          <w:u w:val="none"/>
          <w:lang w:eastAsia="zh-CN"/>
        </w:rPr>
        <w:t>柳州市国资委</w:t>
      </w:r>
      <w:r>
        <w:rPr>
          <w:rFonts w:hint="eastAsia" w:ascii="仿宋_GB2312" w:eastAsia="仿宋_GB2312"/>
          <w:b/>
          <w:color w:val="auto"/>
          <w:sz w:val="32"/>
          <w:szCs w:val="32"/>
          <w:highlight w:val="none"/>
        </w:rPr>
        <w:t>2020年部门决算报表</w:t>
      </w:r>
    </w:p>
    <w:p w14:paraId="6DEBDE89">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14:paraId="7130F066">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14:paraId="580B5B87">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14:paraId="6C15E3BA">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14:paraId="50586CA7">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14:paraId="6AFC9775">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表六：一般公共预算财政拨款基本支出决算表</w:t>
      </w:r>
    </w:p>
    <w:p w14:paraId="06C8E231">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表七：一般公共预算财政拨款安排的“</w:t>
      </w:r>
      <w:r>
        <w:rPr>
          <w:rFonts w:ascii="仿宋_GB2312" w:eastAsia="仿宋_GB2312"/>
          <w:color w:val="auto"/>
          <w:sz w:val="32"/>
          <w:szCs w:val="32"/>
          <w:highlight w:val="none"/>
        </w:rPr>
        <w:t>三公</w:t>
      </w:r>
      <w:r>
        <w:rPr>
          <w:rFonts w:hint="eastAsia" w:ascii="仿宋_GB2312" w:eastAsia="仿宋_GB2312"/>
          <w:color w:val="auto"/>
          <w:sz w:val="32"/>
          <w:szCs w:val="32"/>
          <w:highlight w:val="none"/>
        </w:rPr>
        <w:t>”</w:t>
      </w:r>
      <w:r>
        <w:rPr>
          <w:rFonts w:ascii="仿宋_GB2312" w:eastAsia="仿宋_GB2312"/>
          <w:color w:val="auto"/>
          <w:sz w:val="32"/>
          <w:szCs w:val="32"/>
          <w:highlight w:val="none"/>
        </w:rPr>
        <w:t>经费</w:t>
      </w:r>
      <w:r>
        <w:rPr>
          <w:rFonts w:hint="eastAsia" w:ascii="仿宋_GB2312" w:eastAsia="仿宋_GB2312"/>
          <w:color w:val="auto"/>
          <w:sz w:val="32"/>
          <w:szCs w:val="32"/>
          <w:highlight w:val="none"/>
        </w:rPr>
        <w:t>支出决算表</w:t>
      </w:r>
    </w:p>
    <w:p w14:paraId="3D96E551">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14:paraId="6A324044">
      <w:pPr>
        <w:ind w:left="645"/>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表九：国有资本经营预算财政拨款支出决算表</w:t>
      </w:r>
    </w:p>
    <w:p w14:paraId="29B48E45">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hAnsi="黑体" w:eastAsia="仿宋_GB2312"/>
          <w:b/>
          <w:bCs/>
          <w:color w:val="auto"/>
          <w:sz w:val="32"/>
          <w:szCs w:val="32"/>
          <w:highlight w:val="none"/>
          <w:u w:val="none"/>
          <w:lang w:eastAsia="zh-CN"/>
        </w:rPr>
        <w:t>柳州市国资委</w:t>
      </w:r>
      <w:r>
        <w:rPr>
          <w:rFonts w:hint="eastAsia" w:ascii="仿宋_GB2312" w:eastAsia="仿宋_GB2312"/>
          <w:b/>
          <w:color w:val="auto"/>
          <w:sz w:val="32"/>
          <w:szCs w:val="32"/>
          <w:highlight w:val="none"/>
        </w:rPr>
        <w:t>2020年度部门决算情况说明</w:t>
      </w:r>
    </w:p>
    <w:p w14:paraId="73E8E2AD">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年度收入支出决算总体情况。</w:t>
      </w:r>
    </w:p>
    <w:p w14:paraId="63FF14A4">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年度收入决算情况。</w:t>
      </w:r>
    </w:p>
    <w:p w14:paraId="6BBF9AF0">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年度支出决算情况</w:t>
      </w:r>
    </w:p>
    <w:p w14:paraId="243766DE">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年度财政拨款收入支出决算情况</w:t>
      </w:r>
    </w:p>
    <w:p w14:paraId="453F2492">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五、</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年度一般公共预算财政拨款支出决算情况</w:t>
      </w:r>
    </w:p>
    <w:p w14:paraId="41A6FED0">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年度一般公共预算财政拨款基本支出决算情况</w:t>
      </w:r>
    </w:p>
    <w:p w14:paraId="55F394E7">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年度一般公共预算财政拨款“三公”经费支出决算情况</w:t>
      </w:r>
    </w:p>
    <w:p w14:paraId="79B5E5F5">
      <w:pPr>
        <w:autoSpaceDE w:val="0"/>
        <w:autoSpaceDN w:val="0"/>
        <w:adjustRightInd w:val="0"/>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color w:val="auto"/>
          <w:kern w:val="0"/>
          <w:sz w:val="32"/>
          <w:szCs w:val="32"/>
          <w:highlight w:val="none"/>
        </w:rPr>
        <w:t>八、</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年度政府性基金预算财政拨款收入支出决算情况</w:t>
      </w:r>
    </w:p>
    <w:p w14:paraId="2E613D84">
      <w:pPr>
        <w:ind w:left="645"/>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九</w:t>
      </w:r>
      <w:r>
        <w:rPr>
          <w:rFonts w:hint="eastAsia" w:ascii="仿宋_GB2312" w:eastAsia="仿宋_GB2312" w:cs="仿宋_GB2312"/>
          <w:color w:val="auto"/>
          <w:kern w:val="0"/>
          <w:sz w:val="32"/>
          <w:szCs w:val="32"/>
          <w:highlight w:val="none"/>
        </w:rPr>
        <w:t>、</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年度</w:t>
      </w:r>
      <w:r>
        <w:rPr>
          <w:rFonts w:hint="eastAsia" w:ascii="仿宋_GB2312" w:eastAsia="仿宋_GB2312"/>
          <w:color w:val="auto"/>
          <w:sz w:val="32"/>
          <w:szCs w:val="32"/>
          <w:highlight w:val="none"/>
          <w:lang w:eastAsia="zh-CN"/>
        </w:rPr>
        <w:t>国有资本经营预算财政拨款支出决算情况</w:t>
      </w:r>
    </w:p>
    <w:p w14:paraId="165508CA">
      <w:pPr>
        <w:autoSpaceDE w:val="0"/>
        <w:autoSpaceDN w:val="0"/>
        <w:adjustRightInd w:val="0"/>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eastAsia="zh-CN"/>
        </w:rPr>
        <w:t>十、</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年度预算绩效情况说明</w:t>
      </w:r>
    </w:p>
    <w:p w14:paraId="49F13E7A">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bCs/>
          <w:color w:val="auto"/>
          <w:kern w:val="0"/>
          <w:sz w:val="32"/>
          <w:szCs w:val="32"/>
          <w:highlight w:val="none"/>
        </w:rPr>
        <w:t>十</w:t>
      </w:r>
      <w:r>
        <w:rPr>
          <w:rFonts w:hint="eastAsia" w:ascii="仿宋_GB2312" w:eastAsia="仿宋_GB2312" w:cs="仿宋_GB2312"/>
          <w:bCs/>
          <w:color w:val="auto"/>
          <w:kern w:val="0"/>
          <w:sz w:val="32"/>
          <w:szCs w:val="32"/>
          <w:highlight w:val="none"/>
          <w:lang w:eastAsia="zh-CN"/>
        </w:rPr>
        <w:t>一</w:t>
      </w:r>
      <w:r>
        <w:rPr>
          <w:rFonts w:hint="eastAsia" w:ascii="仿宋_GB2312" w:eastAsia="仿宋_GB2312" w:cs="仿宋_GB2312"/>
          <w:bCs/>
          <w:color w:val="auto"/>
          <w:kern w:val="0"/>
          <w:sz w:val="32"/>
          <w:szCs w:val="32"/>
          <w:highlight w:val="none"/>
        </w:rPr>
        <w:t>、其他重要事项的情况说明</w:t>
      </w:r>
    </w:p>
    <w:p w14:paraId="01CE5337">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14:paraId="09BDC2FE">
      <w:pPr>
        <w:ind w:firstLine="646"/>
        <w:jc w:val="center"/>
        <w:rPr>
          <w:rFonts w:ascii="仿宋_GB2312" w:eastAsia="仿宋_GB2312"/>
          <w:b/>
          <w:color w:val="auto"/>
          <w:sz w:val="32"/>
          <w:szCs w:val="32"/>
          <w:highlight w:val="none"/>
        </w:rPr>
      </w:pPr>
      <w:r>
        <w:rPr>
          <w:rFonts w:hint="eastAsia" w:ascii="仿宋_GB2312" w:eastAsia="仿宋_GB2312" w:cs="仿宋_GB2312"/>
          <w:bCs/>
          <w:color w:val="auto"/>
          <w:kern w:val="0"/>
          <w:sz w:val="32"/>
          <w:szCs w:val="32"/>
          <w:highlight w:val="none"/>
        </w:rPr>
        <w:br w:type="page"/>
      </w:r>
      <w:r>
        <w:rPr>
          <w:rFonts w:hint="eastAsia" w:ascii="仿宋_GB2312" w:eastAsia="仿宋_GB2312"/>
          <w:b/>
          <w:color w:val="auto"/>
          <w:sz w:val="32"/>
          <w:szCs w:val="32"/>
          <w:highlight w:val="none"/>
        </w:rPr>
        <w:t>第一部分：</w:t>
      </w:r>
      <w:r>
        <w:rPr>
          <w:rFonts w:hint="eastAsia" w:ascii="仿宋_GB2312" w:hAnsi="黑体" w:eastAsia="仿宋_GB2312"/>
          <w:b/>
          <w:bCs/>
          <w:color w:val="auto"/>
          <w:sz w:val="32"/>
          <w:szCs w:val="32"/>
          <w:highlight w:val="none"/>
          <w:u w:val="none"/>
          <w:lang w:eastAsia="zh-CN"/>
        </w:rPr>
        <w:t>柳州市国资委</w:t>
      </w:r>
      <w:r>
        <w:rPr>
          <w:rFonts w:hint="eastAsia" w:ascii="仿宋_GB2312" w:eastAsia="仿宋_GB2312"/>
          <w:b/>
          <w:color w:val="auto"/>
          <w:sz w:val="32"/>
          <w:szCs w:val="32"/>
          <w:highlight w:val="none"/>
        </w:rPr>
        <w:t>概况</w:t>
      </w:r>
    </w:p>
    <w:p w14:paraId="129DA216">
      <w:pPr>
        <w:ind w:firstLine="646"/>
        <w:rPr>
          <w:rFonts w:ascii="仿宋_GB2312" w:eastAsia="仿宋_GB2312"/>
          <w:color w:val="auto"/>
          <w:sz w:val="32"/>
          <w:szCs w:val="32"/>
          <w:highlight w:val="none"/>
        </w:rPr>
      </w:pPr>
      <w:r>
        <w:rPr>
          <w:rFonts w:hint="eastAsia" w:ascii="仿宋_GB2312" w:eastAsia="仿宋_GB2312"/>
          <w:color w:val="auto"/>
          <w:sz w:val="32"/>
          <w:szCs w:val="32"/>
          <w:highlight w:val="none"/>
        </w:rPr>
        <w:t>一、主要职能</w:t>
      </w:r>
    </w:p>
    <w:p w14:paraId="53AE6928">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（一）根据市人民政府授权，依照《中华人民共和国公司法》、《中华人民共和国企业国有资产法》等法律、法规和市人民政府规章履行出资人职责，监管柳州市直属企业的国有资产，加强国有资产的管理工作。</w:t>
      </w:r>
    </w:p>
    <w:p w14:paraId="1BF344A1">
      <w:pPr>
        <w:spacing w:line="5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（二）负责企业国有资产基础管理，起草企业国有资产管理的规范性文件，制定有关监管制度，依法对县（区）企业国有资产管理工作进行指导和监督。</w:t>
      </w:r>
    </w:p>
    <w:p w14:paraId="6DA8B6F1">
      <w:pPr>
        <w:spacing w:line="5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（三）指导推进市属企业国有企业改革和重组，推进国有企业的现代企业制度建设，完善公司治理结构，推动国有经济布局和结构的战略性调整。   </w:t>
      </w:r>
    </w:p>
    <w:p w14:paraId="09D4D952">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承担监督所监管企业国有资产保值增值的责任。建立和完善国有资产保值指标体系，拟订考核标准，通过统计、稽核等方式对所监管企业国有资产的保值增值情况进行监管；负责所监管企业工资分配管理工作，拟订所监管企业负责人收入分配政策并组织实施。</w:t>
      </w:r>
    </w:p>
    <w:p w14:paraId="44AE73E6">
      <w:pPr>
        <w:spacing w:line="5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（五）通过法定程序对所监管企业领导人员进行任免、考核并根据其经营业绩进行奖惩，建立符合社会主义市场经济体制和现代企业制度要求的选人、用人机制，完善经营管理者激励和约束制度。</w:t>
      </w:r>
    </w:p>
    <w:p w14:paraId="5FE1FF2A">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（六）负责组织所监管企业上交国有资本收益，参与制定国有资本经营预算有关管理制度和办法，按照有关规定负责国有资本经营预决算编制和执行等工作。</w:t>
      </w:r>
    </w:p>
    <w:p w14:paraId="0F5C1B2A">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（七）根据市人民政府的授权，负责对经营性国有资产的监督管理。</w:t>
      </w:r>
    </w:p>
    <w:p w14:paraId="770C8760">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（八）按照出资人职责，督促所监管企业贯彻落实国家安全生产方针政策及有关法律法规、标准等工作。</w:t>
      </w:r>
    </w:p>
    <w:p w14:paraId="3F6BE527">
      <w:pPr>
        <w:ind w:firstLine="64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（九）承办市人民政府交办的其他事项。</w:t>
      </w:r>
    </w:p>
    <w:p w14:paraId="244C404F">
      <w:pPr>
        <w:ind w:firstLine="646"/>
        <w:rPr>
          <w:rFonts w:ascii="仿宋_GB2312" w:eastAsia="仿宋_GB2312"/>
          <w:color w:val="auto"/>
          <w:sz w:val="32"/>
          <w:szCs w:val="32"/>
          <w:highlight w:val="none"/>
        </w:rPr>
      </w:pPr>
      <w:r>
        <w:rPr>
          <w:rFonts w:hint="eastAsia" w:ascii="仿宋_GB2312" w:eastAsia="仿宋_GB2312"/>
          <w:color w:val="auto"/>
          <w:sz w:val="32"/>
          <w:szCs w:val="32"/>
          <w:highlight w:val="none"/>
        </w:rPr>
        <w:t>二、部门决算单位构成</w:t>
      </w:r>
    </w:p>
    <w:p w14:paraId="0AD64D91">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76" w:lineRule="auto"/>
        <w:ind w:firstLine="640" w:firstLineChars="200"/>
        <w:rPr>
          <w:rFonts w:hint="eastAsia" w:ascii="仿宋_GB2312" w:hAnsi="Cordia New" w:eastAsia="仿宋_GB2312" w:cs="Cordia New"/>
          <w:color w:val="auto"/>
          <w:sz w:val="32"/>
          <w:szCs w:val="32"/>
          <w:highlight w:val="none"/>
        </w:rPr>
      </w:pPr>
      <w:r>
        <w:rPr>
          <w:rFonts w:hint="eastAsia" w:ascii="仿宋_GB2312" w:hAnsi="仿宋" w:eastAsia="仿宋_GB2312" w:cs="Cordia New"/>
          <w:color w:val="auto"/>
          <w:sz w:val="32"/>
          <w:szCs w:val="32"/>
          <w:highlight w:val="none"/>
        </w:rPr>
        <w:t>本部门机构设置及人员情况如下表：</w:t>
      </w:r>
    </w:p>
    <w:p w14:paraId="1FB35DE2">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56" w:after="156"/>
        <w:jc w:val="center"/>
        <w:rPr>
          <w:rFonts w:hint="eastAsia" w:ascii="仿宋_GB2312" w:hAnsi="Cordia New" w:eastAsia="仿宋_GB2312" w:cs="Cordia New"/>
          <w:b/>
          <w:color w:val="auto"/>
          <w:sz w:val="32"/>
          <w:szCs w:val="32"/>
          <w:highlight w:val="none"/>
        </w:rPr>
      </w:pPr>
      <w:r>
        <w:rPr>
          <w:rFonts w:hint="eastAsia" w:ascii="仿宋_GB2312" w:hAnsi="仿宋" w:eastAsia="仿宋_GB2312" w:cs="Cordia New"/>
          <w:b/>
          <w:color w:val="auto"/>
          <w:sz w:val="32"/>
          <w:szCs w:val="32"/>
          <w:highlight w:val="none"/>
        </w:rPr>
        <w:t>机构和人员情况表</w:t>
      </w:r>
    </w:p>
    <w:p w14:paraId="3FBF7F7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right="315"/>
        <w:jc w:val="right"/>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单位：人</w:t>
      </w:r>
    </w:p>
    <w:tbl>
      <w:tblPr>
        <w:tblStyle w:val="5"/>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2399"/>
        <w:gridCol w:w="1412"/>
        <w:gridCol w:w="709"/>
        <w:gridCol w:w="850"/>
        <w:gridCol w:w="709"/>
        <w:gridCol w:w="709"/>
        <w:gridCol w:w="709"/>
        <w:gridCol w:w="850"/>
      </w:tblGrid>
      <w:tr w14:paraId="6615B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1603" w:hRule="atLeast"/>
        </w:trPr>
        <w:tc>
          <w:tcPr>
            <w:tcW w:w="2399" w:type="dxa"/>
            <w:noWrap w:val="0"/>
            <w:vAlign w:val="center"/>
          </w:tcPr>
          <w:p w14:paraId="457ECD21">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单位名称</w:t>
            </w:r>
          </w:p>
        </w:tc>
        <w:tc>
          <w:tcPr>
            <w:tcW w:w="1412" w:type="dxa"/>
            <w:noWrap w:val="0"/>
            <w:tcMar>
              <w:left w:w="20" w:type="dxa"/>
            </w:tcMar>
            <w:vAlign w:val="center"/>
          </w:tcPr>
          <w:p w14:paraId="0F8487C5">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单位性质</w:t>
            </w:r>
          </w:p>
        </w:tc>
        <w:tc>
          <w:tcPr>
            <w:tcW w:w="709" w:type="dxa"/>
            <w:noWrap w:val="0"/>
            <w:tcMar>
              <w:left w:w="20" w:type="dxa"/>
            </w:tcMar>
            <w:vAlign w:val="center"/>
          </w:tcPr>
          <w:p w14:paraId="49268C21">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编制</w:t>
            </w:r>
          </w:p>
          <w:p w14:paraId="482883E6">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人数</w:t>
            </w:r>
          </w:p>
        </w:tc>
        <w:tc>
          <w:tcPr>
            <w:tcW w:w="850" w:type="dxa"/>
            <w:noWrap w:val="0"/>
            <w:tcMar>
              <w:left w:w="20" w:type="dxa"/>
            </w:tcMar>
            <w:vAlign w:val="center"/>
          </w:tcPr>
          <w:p w14:paraId="4E5A7951">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实有在职人数</w:t>
            </w:r>
          </w:p>
        </w:tc>
        <w:tc>
          <w:tcPr>
            <w:tcW w:w="709" w:type="dxa"/>
            <w:noWrap w:val="0"/>
            <w:tcMar>
              <w:left w:w="20" w:type="dxa"/>
            </w:tcMar>
            <w:vAlign w:val="center"/>
          </w:tcPr>
          <w:p w14:paraId="4148C635">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离休</w:t>
            </w:r>
            <w:r>
              <w:rPr>
                <w:rFonts w:hint="eastAsia" w:ascii="宋体" w:hAnsi="宋体" w:eastAsia="宋体" w:cs="Cordia New"/>
                <w:color w:val="auto"/>
                <w:sz w:val="22"/>
                <w:szCs w:val="22"/>
                <w:highlight w:val="none"/>
              </w:rPr>
              <w:br w:type="textWrapping"/>
            </w:r>
            <w:r>
              <w:rPr>
                <w:rFonts w:hint="eastAsia" w:ascii="宋体" w:hAnsi="宋体" w:eastAsia="宋体" w:cs="Cordia New"/>
                <w:color w:val="auto"/>
                <w:sz w:val="22"/>
                <w:szCs w:val="22"/>
                <w:highlight w:val="none"/>
              </w:rPr>
              <w:t>人数</w:t>
            </w:r>
          </w:p>
        </w:tc>
        <w:tc>
          <w:tcPr>
            <w:tcW w:w="709" w:type="dxa"/>
            <w:noWrap w:val="0"/>
            <w:tcMar>
              <w:top w:w="0" w:type="dxa"/>
              <w:left w:w="0" w:type="dxa"/>
              <w:right w:w="10" w:type="dxa"/>
            </w:tcMar>
            <w:vAlign w:val="center"/>
          </w:tcPr>
          <w:p w14:paraId="1E867349">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退休</w:t>
            </w:r>
            <w:r>
              <w:rPr>
                <w:rFonts w:hint="eastAsia" w:ascii="宋体" w:hAnsi="宋体" w:eastAsia="宋体" w:cs="Cordia New"/>
                <w:color w:val="auto"/>
                <w:sz w:val="22"/>
                <w:szCs w:val="22"/>
                <w:highlight w:val="none"/>
              </w:rPr>
              <w:br w:type="textWrapping"/>
            </w:r>
            <w:r>
              <w:rPr>
                <w:rFonts w:hint="eastAsia" w:ascii="宋体" w:hAnsi="宋体" w:eastAsia="宋体" w:cs="Cordia New"/>
                <w:color w:val="auto"/>
                <w:sz w:val="22"/>
                <w:szCs w:val="22"/>
                <w:highlight w:val="none"/>
              </w:rPr>
              <w:t>人数</w:t>
            </w:r>
          </w:p>
        </w:tc>
        <w:tc>
          <w:tcPr>
            <w:tcW w:w="709" w:type="dxa"/>
            <w:noWrap w:val="0"/>
            <w:tcMar>
              <w:left w:w="20" w:type="dxa"/>
            </w:tcMar>
            <w:vAlign w:val="center"/>
          </w:tcPr>
          <w:p w14:paraId="4FD50A8D">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聘用</w:t>
            </w:r>
          </w:p>
          <w:p w14:paraId="470D0FA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人数</w:t>
            </w:r>
          </w:p>
        </w:tc>
        <w:tc>
          <w:tcPr>
            <w:tcW w:w="850" w:type="dxa"/>
            <w:noWrap w:val="0"/>
            <w:tcMar>
              <w:left w:w="20" w:type="dxa"/>
              <w:right w:w="30" w:type="dxa"/>
            </w:tcMar>
            <w:vAlign w:val="center"/>
          </w:tcPr>
          <w:p w14:paraId="1F13D88E">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遗属</w:t>
            </w:r>
            <w:r>
              <w:rPr>
                <w:rFonts w:hint="eastAsia" w:ascii="宋体" w:hAnsi="宋体" w:eastAsia="宋体" w:cs="Cordia New"/>
                <w:color w:val="auto"/>
                <w:sz w:val="22"/>
                <w:szCs w:val="22"/>
                <w:highlight w:val="none"/>
              </w:rPr>
              <w:br w:type="textWrapping"/>
            </w:r>
            <w:r>
              <w:rPr>
                <w:rFonts w:hint="eastAsia" w:ascii="宋体" w:hAnsi="宋体" w:eastAsia="宋体" w:cs="Cordia New"/>
                <w:color w:val="auto"/>
                <w:sz w:val="22"/>
                <w:szCs w:val="22"/>
                <w:highlight w:val="none"/>
              </w:rPr>
              <w:t>人数</w:t>
            </w:r>
          </w:p>
        </w:tc>
      </w:tr>
      <w:tr w14:paraId="74600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682" w:hRule="atLeast"/>
        </w:trPr>
        <w:tc>
          <w:tcPr>
            <w:tcW w:w="2399" w:type="dxa"/>
            <w:noWrap w:val="0"/>
            <w:vAlign w:val="center"/>
          </w:tcPr>
          <w:p w14:paraId="3A25CCD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合计</w:t>
            </w:r>
          </w:p>
        </w:tc>
        <w:tc>
          <w:tcPr>
            <w:tcW w:w="1412" w:type="dxa"/>
            <w:noWrap w:val="0"/>
            <w:tcMar>
              <w:left w:w="20" w:type="dxa"/>
            </w:tcMar>
            <w:vAlign w:val="top"/>
          </w:tcPr>
          <w:p w14:paraId="4D39CDBD">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rFonts w:hint="eastAsia" w:ascii="宋体" w:hAnsi="宋体" w:eastAsia="宋体" w:cs="Cordia New"/>
                <w:color w:val="auto"/>
                <w:sz w:val="22"/>
                <w:szCs w:val="22"/>
                <w:highlight w:val="none"/>
              </w:rPr>
            </w:pPr>
          </w:p>
        </w:tc>
        <w:tc>
          <w:tcPr>
            <w:tcW w:w="709" w:type="dxa"/>
            <w:noWrap w:val="0"/>
            <w:tcMar>
              <w:left w:w="20" w:type="dxa"/>
            </w:tcMar>
            <w:vAlign w:val="center"/>
          </w:tcPr>
          <w:p w14:paraId="3A71B5E1">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lang w:eastAsia="zh-CN"/>
              </w:rPr>
            </w:pPr>
            <w:r>
              <w:rPr>
                <w:rFonts w:hint="eastAsia" w:ascii="宋体" w:hAnsi="宋体" w:eastAsia="宋体" w:cs="Cordia New"/>
                <w:color w:val="auto"/>
                <w:sz w:val="22"/>
                <w:szCs w:val="22"/>
                <w:highlight w:val="none"/>
              </w:rPr>
              <w:t>6</w:t>
            </w:r>
            <w:r>
              <w:rPr>
                <w:rFonts w:hint="eastAsia" w:ascii="宋体" w:hAnsi="宋体" w:eastAsia="宋体" w:cs="Cordia New"/>
                <w:color w:val="auto"/>
                <w:sz w:val="22"/>
                <w:szCs w:val="22"/>
                <w:highlight w:val="none"/>
                <w:lang w:val="en-US" w:eastAsia="zh-CN"/>
              </w:rPr>
              <w:t>6</w:t>
            </w:r>
          </w:p>
        </w:tc>
        <w:tc>
          <w:tcPr>
            <w:tcW w:w="850" w:type="dxa"/>
            <w:noWrap w:val="0"/>
            <w:tcMar>
              <w:left w:w="20" w:type="dxa"/>
            </w:tcMar>
            <w:vAlign w:val="center"/>
          </w:tcPr>
          <w:p w14:paraId="264E077D">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宋体" w:hAnsi="宋体" w:eastAsia="宋体" w:cs="Cordia New"/>
                <w:color w:val="auto"/>
                <w:sz w:val="22"/>
                <w:szCs w:val="22"/>
                <w:highlight w:val="none"/>
                <w:lang w:val="en-US" w:eastAsia="zh-CN"/>
              </w:rPr>
            </w:pPr>
            <w:r>
              <w:rPr>
                <w:rFonts w:hint="eastAsia" w:ascii="宋体" w:hAnsi="宋体" w:eastAsia="宋体" w:cs="Cordia New"/>
                <w:color w:val="auto"/>
                <w:sz w:val="22"/>
                <w:szCs w:val="22"/>
                <w:highlight w:val="none"/>
                <w:lang w:val="en-US" w:eastAsia="zh-CN"/>
              </w:rPr>
              <w:t>56</w:t>
            </w:r>
          </w:p>
        </w:tc>
        <w:tc>
          <w:tcPr>
            <w:tcW w:w="709" w:type="dxa"/>
            <w:noWrap w:val="0"/>
            <w:tcMar>
              <w:left w:w="20" w:type="dxa"/>
            </w:tcMar>
            <w:vAlign w:val="center"/>
          </w:tcPr>
          <w:p w14:paraId="11B4F907">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c>
          <w:tcPr>
            <w:tcW w:w="709" w:type="dxa"/>
            <w:noWrap w:val="0"/>
            <w:tcMar>
              <w:top w:w="0" w:type="dxa"/>
              <w:left w:w="0" w:type="dxa"/>
              <w:right w:w="10" w:type="dxa"/>
            </w:tcMar>
            <w:vAlign w:val="center"/>
          </w:tcPr>
          <w:p w14:paraId="455CEB2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宋体" w:hAnsi="宋体" w:eastAsia="宋体" w:cs="Cordia New"/>
                <w:color w:val="auto"/>
                <w:sz w:val="22"/>
                <w:szCs w:val="22"/>
                <w:highlight w:val="none"/>
                <w:lang w:val="en-US" w:eastAsia="zh-CN"/>
              </w:rPr>
            </w:pPr>
            <w:r>
              <w:rPr>
                <w:rFonts w:hint="eastAsia" w:ascii="宋体" w:hAnsi="宋体" w:eastAsia="宋体" w:cs="Cordia New"/>
                <w:color w:val="auto"/>
                <w:sz w:val="22"/>
                <w:szCs w:val="22"/>
                <w:highlight w:val="none"/>
                <w:lang w:val="en-US" w:eastAsia="zh-CN"/>
              </w:rPr>
              <w:t>19</w:t>
            </w:r>
          </w:p>
        </w:tc>
        <w:tc>
          <w:tcPr>
            <w:tcW w:w="709" w:type="dxa"/>
            <w:noWrap w:val="0"/>
            <w:tcMar>
              <w:left w:w="20" w:type="dxa"/>
            </w:tcMar>
            <w:vAlign w:val="center"/>
          </w:tcPr>
          <w:p w14:paraId="30AEE81B">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lang w:val="en-US" w:eastAsia="zh-CN"/>
              </w:rPr>
            </w:pPr>
            <w:r>
              <w:rPr>
                <w:rFonts w:hint="eastAsia" w:ascii="宋体" w:hAnsi="宋体" w:eastAsia="宋体" w:cs="Cordia New"/>
                <w:color w:val="auto"/>
                <w:sz w:val="22"/>
                <w:szCs w:val="22"/>
                <w:highlight w:val="none"/>
                <w:lang w:val="en-US" w:eastAsia="zh-CN"/>
              </w:rPr>
              <w:t>1</w:t>
            </w:r>
          </w:p>
        </w:tc>
        <w:tc>
          <w:tcPr>
            <w:tcW w:w="850" w:type="dxa"/>
            <w:noWrap w:val="0"/>
            <w:tcMar>
              <w:left w:w="20" w:type="dxa"/>
              <w:right w:w="30" w:type="dxa"/>
            </w:tcMar>
            <w:vAlign w:val="center"/>
          </w:tcPr>
          <w:p w14:paraId="0E41686F">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r>
      <w:tr w14:paraId="283A9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887" w:hRule="atLeast"/>
        </w:trPr>
        <w:tc>
          <w:tcPr>
            <w:tcW w:w="2399" w:type="dxa"/>
            <w:noWrap w:val="0"/>
            <w:vAlign w:val="center"/>
          </w:tcPr>
          <w:p w14:paraId="0FCF0FDD">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柳州市人民政府国有资产监督管理委员会</w:t>
            </w:r>
          </w:p>
        </w:tc>
        <w:tc>
          <w:tcPr>
            <w:tcW w:w="1412" w:type="dxa"/>
            <w:noWrap w:val="0"/>
            <w:tcMar>
              <w:left w:w="20" w:type="dxa"/>
            </w:tcMar>
            <w:vAlign w:val="center"/>
          </w:tcPr>
          <w:p w14:paraId="35E6BED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行政</w:t>
            </w:r>
          </w:p>
        </w:tc>
        <w:tc>
          <w:tcPr>
            <w:tcW w:w="709" w:type="dxa"/>
            <w:noWrap w:val="0"/>
            <w:tcMar>
              <w:left w:w="20" w:type="dxa"/>
            </w:tcMar>
            <w:vAlign w:val="center"/>
          </w:tcPr>
          <w:p w14:paraId="7D1DECE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lang w:eastAsia="zh-CN"/>
              </w:rPr>
            </w:pPr>
            <w:r>
              <w:rPr>
                <w:rFonts w:hint="eastAsia" w:ascii="宋体" w:hAnsi="宋体" w:eastAsia="宋体" w:cs="Cordia New"/>
                <w:color w:val="auto"/>
                <w:sz w:val="22"/>
                <w:szCs w:val="22"/>
                <w:highlight w:val="none"/>
              </w:rPr>
              <w:t>3</w:t>
            </w:r>
            <w:r>
              <w:rPr>
                <w:rFonts w:hint="eastAsia" w:ascii="宋体" w:hAnsi="宋体" w:eastAsia="宋体" w:cs="Cordia New"/>
                <w:color w:val="auto"/>
                <w:sz w:val="22"/>
                <w:szCs w:val="22"/>
                <w:highlight w:val="none"/>
                <w:lang w:val="en-US" w:eastAsia="zh-CN"/>
              </w:rPr>
              <w:t>2</w:t>
            </w:r>
          </w:p>
        </w:tc>
        <w:tc>
          <w:tcPr>
            <w:tcW w:w="850" w:type="dxa"/>
            <w:noWrap w:val="0"/>
            <w:tcMar>
              <w:left w:w="20" w:type="dxa"/>
            </w:tcMar>
            <w:vAlign w:val="center"/>
          </w:tcPr>
          <w:p w14:paraId="42E9EC19">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宋体" w:hAnsi="宋体" w:eastAsia="宋体" w:cs="Cordia New"/>
                <w:color w:val="auto"/>
                <w:sz w:val="22"/>
                <w:szCs w:val="22"/>
                <w:highlight w:val="none"/>
                <w:lang w:val="en-US" w:eastAsia="zh-CN"/>
              </w:rPr>
            </w:pPr>
            <w:r>
              <w:rPr>
                <w:rFonts w:hint="eastAsia" w:ascii="宋体" w:hAnsi="宋体" w:eastAsia="宋体" w:cs="Cordia New"/>
                <w:color w:val="auto"/>
                <w:sz w:val="22"/>
                <w:szCs w:val="22"/>
                <w:highlight w:val="none"/>
                <w:lang w:val="en-US" w:eastAsia="zh-CN"/>
              </w:rPr>
              <w:t>26</w:t>
            </w:r>
          </w:p>
        </w:tc>
        <w:tc>
          <w:tcPr>
            <w:tcW w:w="709" w:type="dxa"/>
            <w:noWrap w:val="0"/>
            <w:tcMar>
              <w:left w:w="20" w:type="dxa"/>
            </w:tcMar>
            <w:vAlign w:val="center"/>
          </w:tcPr>
          <w:p w14:paraId="1377E847">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c>
          <w:tcPr>
            <w:tcW w:w="709" w:type="dxa"/>
            <w:noWrap w:val="0"/>
            <w:tcMar>
              <w:top w:w="0" w:type="dxa"/>
              <w:left w:w="0" w:type="dxa"/>
              <w:right w:w="10" w:type="dxa"/>
            </w:tcMar>
            <w:vAlign w:val="center"/>
          </w:tcPr>
          <w:p w14:paraId="7F08F3B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宋体" w:hAnsi="宋体" w:eastAsia="宋体" w:cs="Cordia New"/>
                <w:color w:val="auto"/>
                <w:sz w:val="22"/>
                <w:szCs w:val="22"/>
                <w:highlight w:val="none"/>
                <w:lang w:val="en-US" w:eastAsia="zh-CN"/>
              </w:rPr>
            </w:pPr>
            <w:r>
              <w:rPr>
                <w:rFonts w:hint="eastAsia" w:ascii="宋体" w:hAnsi="宋体" w:eastAsia="宋体" w:cs="Cordia New"/>
                <w:color w:val="auto"/>
                <w:sz w:val="22"/>
                <w:szCs w:val="22"/>
                <w:highlight w:val="none"/>
                <w:lang w:val="en-US" w:eastAsia="zh-CN"/>
              </w:rPr>
              <w:t>19</w:t>
            </w:r>
          </w:p>
        </w:tc>
        <w:tc>
          <w:tcPr>
            <w:tcW w:w="709" w:type="dxa"/>
            <w:noWrap w:val="0"/>
            <w:tcMar>
              <w:left w:w="20" w:type="dxa"/>
            </w:tcMar>
            <w:vAlign w:val="center"/>
          </w:tcPr>
          <w:p w14:paraId="2313127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c>
          <w:tcPr>
            <w:tcW w:w="850" w:type="dxa"/>
            <w:noWrap w:val="0"/>
            <w:tcMar>
              <w:left w:w="20" w:type="dxa"/>
              <w:right w:w="30" w:type="dxa"/>
            </w:tcMar>
            <w:vAlign w:val="center"/>
          </w:tcPr>
          <w:p w14:paraId="0CB57BC0">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r>
      <w:tr w14:paraId="155B0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934" w:hRule="atLeast"/>
        </w:trPr>
        <w:tc>
          <w:tcPr>
            <w:tcW w:w="2399" w:type="dxa"/>
            <w:noWrap w:val="0"/>
            <w:vAlign w:val="center"/>
          </w:tcPr>
          <w:p w14:paraId="07AA6EE6">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柳州市国有资本投资促进中心</w:t>
            </w:r>
          </w:p>
        </w:tc>
        <w:tc>
          <w:tcPr>
            <w:tcW w:w="1412" w:type="dxa"/>
            <w:noWrap w:val="0"/>
            <w:tcMar>
              <w:left w:w="20" w:type="dxa"/>
            </w:tcMar>
            <w:vAlign w:val="center"/>
          </w:tcPr>
          <w:p w14:paraId="5424C9F8">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全额拨款事业单位</w:t>
            </w:r>
          </w:p>
        </w:tc>
        <w:tc>
          <w:tcPr>
            <w:tcW w:w="709" w:type="dxa"/>
            <w:noWrap w:val="0"/>
            <w:tcMar>
              <w:left w:w="20" w:type="dxa"/>
            </w:tcMar>
            <w:vAlign w:val="center"/>
          </w:tcPr>
          <w:p w14:paraId="3971B69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18</w:t>
            </w:r>
          </w:p>
        </w:tc>
        <w:tc>
          <w:tcPr>
            <w:tcW w:w="850" w:type="dxa"/>
            <w:noWrap w:val="0"/>
            <w:tcMar>
              <w:left w:w="20" w:type="dxa"/>
            </w:tcMar>
            <w:vAlign w:val="center"/>
          </w:tcPr>
          <w:p w14:paraId="53E4FC52">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lang w:val="en-US" w:eastAsia="zh-CN"/>
              </w:rPr>
            </w:pPr>
            <w:r>
              <w:rPr>
                <w:rFonts w:hint="eastAsia" w:ascii="宋体" w:hAnsi="宋体" w:eastAsia="宋体" w:cs="Cordia New"/>
                <w:color w:val="auto"/>
                <w:sz w:val="22"/>
                <w:szCs w:val="22"/>
                <w:highlight w:val="none"/>
              </w:rPr>
              <w:t>1</w:t>
            </w:r>
            <w:r>
              <w:rPr>
                <w:rFonts w:hint="eastAsia" w:ascii="宋体" w:hAnsi="宋体" w:eastAsia="宋体" w:cs="Cordia New"/>
                <w:color w:val="auto"/>
                <w:sz w:val="22"/>
                <w:szCs w:val="22"/>
                <w:highlight w:val="none"/>
                <w:lang w:val="en-US" w:eastAsia="zh-CN"/>
              </w:rPr>
              <w:t>7</w:t>
            </w:r>
          </w:p>
        </w:tc>
        <w:tc>
          <w:tcPr>
            <w:tcW w:w="709" w:type="dxa"/>
            <w:noWrap w:val="0"/>
            <w:tcMar>
              <w:left w:w="20" w:type="dxa"/>
            </w:tcMar>
            <w:vAlign w:val="center"/>
          </w:tcPr>
          <w:p w14:paraId="1B0D31D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c>
          <w:tcPr>
            <w:tcW w:w="709" w:type="dxa"/>
            <w:noWrap w:val="0"/>
            <w:tcMar>
              <w:top w:w="0" w:type="dxa"/>
              <w:left w:w="0" w:type="dxa"/>
              <w:right w:w="10" w:type="dxa"/>
            </w:tcMar>
            <w:vAlign w:val="center"/>
          </w:tcPr>
          <w:p w14:paraId="626CED6E">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c>
          <w:tcPr>
            <w:tcW w:w="709" w:type="dxa"/>
            <w:noWrap w:val="0"/>
            <w:tcMar>
              <w:left w:w="20" w:type="dxa"/>
            </w:tcMar>
            <w:vAlign w:val="center"/>
          </w:tcPr>
          <w:p w14:paraId="5AA16C78">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lang w:val="en-US" w:eastAsia="zh-CN"/>
              </w:rPr>
            </w:pPr>
            <w:r>
              <w:rPr>
                <w:rFonts w:hint="eastAsia" w:ascii="宋体" w:hAnsi="宋体" w:eastAsia="宋体" w:cs="Cordia New"/>
                <w:color w:val="auto"/>
                <w:sz w:val="22"/>
                <w:szCs w:val="22"/>
                <w:highlight w:val="none"/>
                <w:lang w:val="en-US" w:eastAsia="zh-CN"/>
              </w:rPr>
              <w:t>1</w:t>
            </w:r>
          </w:p>
        </w:tc>
        <w:tc>
          <w:tcPr>
            <w:tcW w:w="850" w:type="dxa"/>
            <w:noWrap w:val="0"/>
            <w:tcMar>
              <w:left w:w="20" w:type="dxa"/>
              <w:right w:w="30" w:type="dxa"/>
            </w:tcMar>
            <w:vAlign w:val="center"/>
          </w:tcPr>
          <w:p w14:paraId="712D7E77">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r>
      <w:tr w14:paraId="6EB88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794" w:hRule="atLeast"/>
        </w:trPr>
        <w:tc>
          <w:tcPr>
            <w:tcW w:w="2399" w:type="dxa"/>
            <w:noWrap w:val="0"/>
            <w:vAlign w:val="center"/>
          </w:tcPr>
          <w:p w14:paraId="50EF7F49">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柳州市国有企业监事管理中心</w:t>
            </w:r>
          </w:p>
        </w:tc>
        <w:tc>
          <w:tcPr>
            <w:tcW w:w="1412" w:type="dxa"/>
            <w:noWrap w:val="0"/>
            <w:tcMar>
              <w:left w:w="20" w:type="dxa"/>
            </w:tcMar>
            <w:vAlign w:val="top"/>
          </w:tcPr>
          <w:p w14:paraId="773373BB">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参公全额拨款事业单位</w:t>
            </w:r>
          </w:p>
        </w:tc>
        <w:tc>
          <w:tcPr>
            <w:tcW w:w="709" w:type="dxa"/>
            <w:noWrap w:val="0"/>
            <w:tcMar>
              <w:left w:w="20" w:type="dxa"/>
            </w:tcMar>
            <w:vAlign w:val="center"/>
          </w:tcPr>
          <w:p w14:paraId="2A55706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rPr>
            </w:pPr>
            <w:r>
              <w:rPr>
                <w:rFonts w:hint="eastAsia" w:ascii="宋体" w:hAnsi="宋体" w:eastAsia="宋体" w:cs="Cordia New"/>
                <w:color w:val="auto"/>
                <w:sz w:val="22"/>
                <w:szCs w:val="22"/>
                <w:highlight w:val="none"/>
              </w:rPr>
              <w:t>16</w:t>
            </w:r>
          </w:p>
        </w:tc>
        <w:tc>
          <w:tcPr>
            <w:tcW w:w="850" w:type="dxa"/>
            <w:noWrap w:val="0"/>
            <w:tcMar>
              <w:left w:w="20" w:type="dxa"/>
            </w:tcMar>
            <w:vAlign w:val="center"/>
          </w:tcPr>
          <w:p w14:paraId="451D46AE">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Cordia New"/>
                <w:color w:val="auto"/>
                <w:sz w:val="22"/>
                <w:szCs w:val="22"/>
                <w:highlight w:val="none"/>
                <w:lang w:eastAsia="zh-CN"/>
              </w:rPr>
            </w:pPr>
            <w:r>
              <w:rPr>
                <w:rFonts w:hint="eastAsia" w:ascii="宋体" w:hAnsi="宋体" w:eastAsia="宋体" w:cs="Cordia New"/>
                <w:color w:val="auto"/>
                <w:sz w:val="22"/>
                <w:szCs w:val="22"/>
                <w:highlight w:val="none"/>
              </w:rPr>
              <w:t>1</w:t>
            </w:r>
            <w:r>
              <w:rPr>
                <w:rFonts w:hint="eastAsia" w:ascii="宋体" w:hAnsi="宋体" w:eastAsia="宋体" w:cs="Cordia New"/>
                <w:color w:val="auto"/>
                <w:sz w:val="22"/>
                <w:szCs w:val="22"/>
                <w:highlight w:val="none"/>
                <w:lang w:val="en-US" w:eastAsia="zh-CN"/>
              </w:rPr>
              <w:t>3</w:t>
            </w:r>
          </w:p>
        </w:tc>
        <w:tc>
          <w:tcPr>
            <w:tcW w:w="709" w:type="dxa"/>
            <w:noWrap w:val="0"/>
            <w:tcMar>
              <w:left w:w="20" w:type="dxa"/>
            </w:tcMar>
            <w:vAlign w:val="center"/>
          </w:tcPr>
          <w:p w14:paraId="49BB731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c>
          <w:tcPr>
            <w:tcW w:w="709" w:type="dxa"/>
            <w:noWrap w:val="0"/>
            <w:tcMar>
              <w:top w:w="0" w:type="dxa"/>
              <w:left w:w="0" w:type="dxa"/>
              <w:right w:w="10" w:type="dxa"/>
            </w:tcMar>
            <w:vAlign w:val="center"/>
          </w:tcPr>
          <w:p w14:paraId="7EA6285F">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c>
          <w:tcPr>
            <w:tcW w:w="709" w:type="dxa"/>
            <w:noWrap w:val="0"/>
            <w:tcMar>
              <w:left w:w="20" w:type="dxa"/>
            </w:tcMar>
            <w:vAlign w:val="center"/>
          </w:tcPr>
          <w:p w14:paraId="03097AEE">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ascii="宋体" w:hAnsi="宋体" w:eastAsia="宋体" w:cs="Cordia New"/>
                <w:color w:val="auto"/>
                <w:sz w:val="22"/>
                <w:szCs w:val="22"/>
                <w:highlight w:val="none"/>
              </w:rPr>
            </w:pPr>
          </w:p>
        </w:tc>
        <w:tc>
          <w:tcPr>
            <w:tcW w:w="850" w:type="dxa"/>
            <w:noWrap w:val="0"/>
            <w:tcMar>
              <w:left w:w="20" w:type="dxa"/>
              <w:right w:w="30" w:type="dxa"/>
            </w:tcMar>
            <w:vAlign w:val="top"/>
          </w:tcPr>
          <w:p w14:paraId="666D337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rFonts w:hint="eastAsia" w:ascii="宋体" w:hAnsi="宋体" w:eastAsia="宋体" w:cs="Cordia New"/>
                <w:color w:val="auto"/>
                <w:sz w:val="22"/>
                <w:szCs w:val="22"/>
                <w:highlight w:val="none"/>
              </w:rPr>
            </w:pPr>
          </w:p>
        </w:tc>
      </w:tr>
    </w:tbl>
    <w:p w14:paraId="0D9AD92D">
      <w:pPr>
        <w:ind w:firstLine="645"/>
        <w:rPr>
          <w:rFonts w:ascii="仿宋_GB2312" w:eastAsia="仿宋_GB2312"/>
          <w:color w:val="auto"/>
          <w:sz w:val="32"/>
          <w:szCs w:val="32"/>
          <w:highlight w:val="none"/>
        </w:rPr>
      </w:pPr>
    </w:p>
    <w:p w14:paraId="2936E494">
      <w:pPr>
        <w:jc w:val="center"/>
        <w:rPr>
          <w:color w:val="auto"/>
          <w:highlight w:val="none"/>
        </w:rPr>
      </w:pPr>
    </w:p>
    <w:p w14:paraId="396A7897">
      <w:pPr>
        <w:jc w:val="both"/>
        <w:rPr>
          <w:color w:val="auto"/>
          <w:highlight w:val="none"/>
        </w:rPr>
      </w:pPr>
    </w:p>
    <w:p w14:paraId="06CDD7F4">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第二部分：</w:t>
      </w:r>
      <w:r>
        <w:rPr>
          <w:rFonts w:hint="eastAsia" w:ascii="仿宋_GB2312" w:hAnsi="黑体" w:eastAsia="仿宋_GB2312"/>
          <w:b/>
          <w:bCs/>
          <w:color w:val="auto"/>
          <w:sz w:val="32"/>
          <w:szCs w:val="32"/>
          <w:highlight w:val="none"/>
          <w:u w:val="none"/>
          <w:lang w:eastAsia="zh-CN"/>
        </w:rPr>
        <w:t>柳州市国资委</w:t>
      </w:r>
      <w:r>
        <w:rPr>
          <w:rFonts w:hint="eastAsia" w:ascii="仿宋_GB2312" w:eastAsia="仿宋_GB2312"/>
          <w:b/>
          <w:color w:val="auto"/>
          <w:sz w:val="32"/>
          <w:szCs w:val="32"/>
          <w:highlight w:val="none"/>
        </w:rPr>
        <w:t>2020年部门决算报表</w:t>
      </w:r>
    </w:p>
    <w:p w14:paraId="16DBA719">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eastAsia="zh-CN"/>
        </w:rPr>
        <w:t>详见附件。</w:t>
      </w:r>
    </w:p>
    <w:p w14:paraId="335A063A">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p>
    <w:p w14:paraId="6D77FED7">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p>
    <w:p w14:paraId="57CC8372">
      <w:pPr>
        <w:spacing w:line="58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eastAsia="仿宋_GB2312"/>
          <w:b/>
          <w:color w:val="auto"/>
          <w:sz w:val="32"/>
          <w:szCs w:val="32"/>
          <w:highlight w:val="none"/>
          <w:lang w:eastAsia="zh-CN"/>
        </w:rPr>
        <w:t>柳州市国资委</w:t>
      </w:r>
      <w:r>
        <w:rPr>
          <w:rFonts w:hint="eastAsia" w:ascii="仿宋_GB2312" w:eastAsia="仿宋_GB2312"/>
          <w:b/>
          <w:color w:val="auto"/>
          <w:sz w:val="32"/>
          <w:szCs w:val="32"/>
          <w:highlight w:val="none"/>
        </w:rPr>
        <w:t>2020年度部门决算情况说明</w:t>
      </w:r>
    </w:p>
    <w:p w14:paraId="41C13005">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一、</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年度收入支出决算总体情况</w:t>
      </w:r>
    </w:p>
    <w:p w14:paraId="2C558A7F">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2020年度收入总计</w:t>
      </w:r>
      <w:r>
        <w:rPr>
          <w:rFonts w:hint="eastAsia" w:ascii="仿宋_GB2312" w:eastAsia="仿宋_GB2312" w:cs="仿宋_GB2312"/>
          <w:bCs/>
          <w:color w:val="auto"/>
          <w:kern w:val="0"/>
          <w:sz w:val="32"/>
          <w:szCs w:val="32"/>
          <w:highlight w:val="none"/>
          <w:lang w:val="en-US" w:eastAsia="zh-CN"/>
        </w:rPr>
        <w:t>5</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972.72</w:t>
      </w:r>
      <w:r>
        <w:rPr>
          <w:rFonts w:hint="eastAsia" w:ascii="仿宋_GB2312" w:eastAsia="仿宋_GB2312" w:cs="仿宋_GB2312"/>
          <w:bCs/>
          <w:color w:val="auto"/>
          <w:kern w:val="0"/>
          <w:sz w:val="32"/>
          <w:szCs w:val="32"/>
          <w:highlight w:val="none"/>
        </w:rPr>
        <w:t>万元，支出总计</w:t>
      </w:r>
      <w:r>
        <w:rPr>
          <w:rFonts w:hint="eastAsia" w:ascii="仿宋_GB2312" w:eastAsia="仿宋_GB2312" w:cs="仿宋_GB2312"/>
          <w:bCs/>
          <w:color w:val="auto"/>
          <w:kern w:val="0"/>
          <w:sz w:val="32"/>
          <w:szCs w:val="32"/>
          <w:highlight w:val="none"/>
          <w:lang w:val="en-US" w:eastAsia="zh-CN"/>
        </w:rPr>
        <w:t>5</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972.72</w:t>
      </w:r>
      <w:r>
        <w:rPr>
          <w:rFonts w:hint="eastAsia" w:ascii="仿宋_GB2312" w:eastAsia="仿宋_GB2312" w:cs="仿宋_GB2312"/>
          <w:bCs/>
          <w:color w:val="auto"/>
          <w:kern w:val="0"/>
          <w:sz w:val="32"/>
          <w:szCs w:val="32"/>
          <w:highlight w:val="none"/>
        </w:rPr>
        <w:t>万元，与2019年相比，收、支分别</w:t>
      </w:r>
      <w:r>
        <w:rPr>
          <w:rFonts w:hint="eastAsia" w:ascii="仿宋_GB2312" w:eastAsia="仿宋_GB2312" w:cs="仿宋_GB2312"/>
          <w:bCs/>
          <w:color w:val="auto"/>
          <w:kern w:val="0"/>
          <w:sz w:val="32"/>
          <w:szCs w:val="32"/>
          <w:highlight w:val="none"/>
          <w:lang w:eastAsia="zh-CN"/>
        </w:rPr>
        <w:t>减少</w:t>
      </w:r>
      <w:r>
        <w:rPr>
          <w:rFonts w:hint="eastAsia" w:ascii="仿宋_GB2312" w:eastAsia="仿宋_GB2312" w:cs="仿宋_GB2312"/>
          <w:bCs/>
          <w:color w:val="auto"/>
          <w:kern w:val="0"/>
          <w:sz w:val="32"/>
          <w:szCs w:val="32"/>
          <w:highlight w:val="none"/>
          <w:lang w:val="en-US" w:eastAsia="zh-CN"/>
        </w:rPr>
        <w:t>7</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270.58万元</w:t>
      </w:r>
      <w:r>
        <w:rPr>
          <w:rFonts w:hint="eastAsia" w:ascii="仿宋_GB2312" w:eastAsia="仿宋_GB2312" w:cs="仿宋_GB2312"/>
          <w:bCs/>
          <w:color w:val="auto"/>
          <w:kern w:val="0"/>
          <w:sz w:val="32"/>
          <w:szCs w:val="32"/>
          <w:highlight w:val="none"/>
        </w:rPr>
        <w:t>；分别</w:t>
      </w:r>
      <w:r>
        <w:rPr>
          <w:rFonts w:hint="eastAsia" w:ascii="仿宋_GB2312" w:eastAsia="仿宋_GB2312" w:cs="仿宋_GB2312"/>
          <w:bCs/>
          <w:color w:val="auto"/>
          <w:kern w:val="0"/>
          <w:sz w:val="32"/>
          <w:szCs w:val="32"/>
          <w:highlight w:val="none"/>
          <w:lang w:eastAsia="zh-CN"/>
        </w:rPr>
        <w:t>下降</w:t>
      </w:r>
      <w:r>
        <w:rPr>
          <w:rFonts w:hint="eastAsia" w:ascii="仿宋_GB2312" w:eastAsia="仿宋_GB2312" w:cs="仿宋_GB2312"/>
          <w:bCs/>
          <w:color w:val="auto"/>
          <w:kern w:val="0"/>
          <w:sz w:val="32"/>
          <w:szCs w:val="32"/>
          <w:highlight w:val="none"/>
          <w:lang w:val="en-US" w:eastAsia="zh-CN"/>
        </w:rPr>
        <w:t>54.90</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p>
    <w:p w14:paraId="69D67C35">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二、</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年度收入决算情况</w:t>
      </w:r>
    </w:p>
    <w:p w14:paraId="661972D9">
      <w:pPr>
        <w:autoSpaceDE w:val="0"/>
        <w:autoSpaceDN w:val="0"/>
        <w:adjustRightInd w:val="0"/>
        <w:spacing w:line="580" w:lineRule="exact"/>
        <w:ind w:firstLine="640"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Cs/>
          <w:color w:val="auto"/>
          <w:kern w:val="0"/>
          <w:sz w:val="32"/>
          <w:szCs w:val="32"/>
          <w:highlight w:val="none"/>
        </w:rPr>
        <w:t>本年收入</w:t>
      </w:r>
      <w:r>
        <w:rPr>
          <w:rFonts w:hint="eastAsia" w:ascii="仿宋_GB2312" w:eastAsia="仿宋_GB2312" w:cs="仿宋_GB2312"/>
          <w:bCs/>
          <w:color w:val="auto"/>
          <w:kern w:val="0"/>
          <w:sz w:val="32"/>
          <w:szCs w:val="32"/>
          <w:highlight w:val="none"/>
          <w:lang w:eastAsia="zh-CN"/>
        </w:rPr>
        <w:t>合</w:t>
      </w:r>
      <w:r>
        <w:rPr>
          <w:rFonts w:hint="eastAsia" w:ascii="仿宋_GB2312" w:eastAsia="仿宋_GB2312" w:cs="仿宋_GB2312"/>
          <w:bCs/>
          <w:color w:val="auto"/>
          <w:kern w:val="0"/>
          <w:sz w:val="32"/>
          <w:szCs w:val="32"/>
          <w:highlight w:val="none"/>
        </w:rPr>
        <w:t>计</w:t>
      </w:r>
      <w:r>
        <w:rPr>
          <w:rFonts w:hint="eastAsia" w:ascii="仿宋_GB2312" w:eastAsia="仿宋_GB2312" w:cs="仿宋_GB2312"/>
          <w:bCs/>
          <w:color w:val="auto"/>
          <w:kern w:val="0"/>
          <w:sz w:val="32"/>
          <w:szCs w:val="32"/>
          <w:highlight w:val="none"/>
          <w:lang w:val="en-US" w:eastAsia="zh-CN"/>
        </w:rPr>
        <w:t>5</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969.45</w:t>
      </w:r>
      <w:r>
        <w:rPr>
          <w:rFonts w:hint="eastAsia" w:ascii="仿宋_GB2312" w:eastAsia="仿宋_GB2312" w:cs="仿宋_GB2312"/>
          <w:bCs/>
          <w:color w:val="auto"/>
          <w:kern w:val="0"/>
          <w:sz w:val="32"/>
          <w:szCs w:val="32"/>
          <w:highlight w:val="none"/>
        </w:rPr>
        <w:t>万元 ，其中：一般公共预算财政拨款收入</w:t>
      </w:r>
      <w:r>
        <w:rPr>
          <w:rFonts w:hint="eastAsia" w:ascii="仿宋_GB2312" w:eastAsia="仿宋_GB2312" w:cs="仿宋_GB2312"/>
          <w:bCs/>
          <w:color w:val="auto"/>
          <w:kern w:val="0"/>
          <w:sz w:val="32"/>
          <w:szCs w:val="32"/>
          <w:highlight w:val="none"/>
          <w:lang w:val="en-US" w:eastAsia="zh-CN"/>
        </w:rPr>
        <w:t>3</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311.98</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55.48%</w:t>
      </w:r>
      <w:r>
        <w:rPr>
          <w:rFonts w:hint="eastAsia" w:ascii="仿宋_GB2312" w:eastAsia="仿宋_GB2312" w:cs="仿宋_GB2312"/>
          <w:bCs/>
          <w:color w:val="auto"/>
          <w:kern w:val="0"/>
          <w:sz w:val="32"/>
          <w:szCs w:val="32"/>
          <w:highlight w:val="none"/>
        </w:rPr>
        <w:t> ；</w:t>
      </w:r>
      <w:r>
        <w:rPr>
          <w:rFonts w:hint="eastAsia" w:ascii="仿宋_GB2312" w:eastAsia="仿宋_GB2312" w:cs="仿宋_GB2312"/>
          <w:bCs/>
          <w:color w:val="auto"/>
          <w:kern w:val="0"/>
          <w:sz w:val="32"/>
          <w:szCs w:val="32"/>
          <w:highlight w:val="none"/>
          <w:lang w:eastAsia="zh-CN"/>
        </w:rPr>
        <w:t>国有资本经营预算财政拨款</w:t>
      </w:r>
      <w:r>
        <w:rPr>
          <w:rFonts w:hint="eastAsia" w:ascii="仿宋_GB2312" w:eastAsia="仿宋_GB2312" w:cs="仿宋_GB2312"/>
          <w:bCs/>
          <w:color w:val="auto"/>
          <w:kern w:val="0"/>
          <w:sz w:val="32"/>
          <w:szCs w:val="32"/>
          <w:highlight w:val="none"/>
        </w:rPr>
        <w:t>收入</w:t>
      </w:r>
      <w:r>
        <w:rPr>
          <w:rFonts w:hint="eastAsia" w:ascii="仿宋_GB2312" w:eastAsia="仿宋_GB2312" w:cs="仿宋_GB2312"/>
          <w:bCs/>
          <w:color w:val="auto"/>
          <w:kern w:val="0"/>
          <w:sz w:val="32"/>
          <w:szCs w:val="32"/>
          <w:highlight w:val="none"/>
          <w:lang w:val="en-US" w:eastAsia="zh-CN"/>
        </w:rPr>
        <w:t>2</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657.00</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44.51%</w:t>
      </w:r>
      <w:r>
        <w:rPr>
          <w:rFonts w:hint="eastAsia" w:ascii="仿宋_GB2312" w:eastAsia="仿宋_GB2312" w:cs="仿宋_GB2312"/>
          <w:bCs/>
          <w:color w:val="auto"/>
          <w:kern w:val="0"/>
          <w:sz w:val="32"/>
          <w:szCs w:val="32"/>
          <w:highlight w:val="none"/>
        </w:rPr>
        <w:t>；其他收入</w:t>
      </w:r>
      <w:r>
        <w:rPr>
          <w:rFonts w:hint="eastAsia" w:ascii="仿宋_GB2312" w:eastAsia="仿宋_GB2312" w:cs="仿宋_GB2312"/>
          <w:bCs/>
          <w:color w:val="auto"/>
          <w:kern w:val="0"/>
          <w:sz w:val="32"/>
          <w:szCs w:val="32"/>
          <w:highlight w:val="none"/>
          <w:lang w:val="en-US" w:eastAsia="zh-CN"/>
        </w:rPr>
        <w:t>0.47</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0.01%</w:t>
      </w:r>
      <w:r>
        <w:rPr>
          <w:rFonts w:hint="eastAsia" w:ascii="仿宋_GB2312" w:eastAsia="仿宋_GB2312" w:cs="仿宋_GB2312"/>
          <w:bCs/>
          <w:color w:val="auto"/>
          <w:kern w:val="0"/>
          <w:sz w:val="32"/>
          <w:szCs w:val="32"/>
          <w:highlight w:val="none"/>
        </w:rPr>
        <w:t>。</w:t>
      </w:r>
    </w:p>
    <w:p w14:paraId="5E796DCE">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三、</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年度支出决算情况</w:t>
      </w:r>
    </w:p>
    <w:p w14:paraId="63755EF6">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本年支出合计</w:t>
      </w:r>
      <w:r>
        <w:rPr>
          <w:rFonts w:hint="eastAsia" w:ascii="仿宋_GB2312" w:eastAsia="仿宋_GB2312" w:cs="仿宋_GB2312"/>
          <w:bCs/>
          <w:color w:val="auto"/>
          <w:kern w:val="0"/>
          <w:sz w:val="32"/>
          <w:szCs w:val="32"/>
          <w:highlight w:val="none"/>
          <w:lang w:val="en-US" w:eastAsia="zh-CN"/>
        </w:rPr>
        <w:t>5</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961.78</w:t>
      </w:r>
      <w:r>
        <w:rPr>
          <w:rFonts w:hint="eastAsia" w:ascii="仿宋_GB2312" w:eastAsia="仿宋_GB2312" w:cs="仿宋_GB2312"/>
          <w:bCs/>
          <w:color w:val="auto"/>
          <w:kern w:val="0"/>
          <w:sz w:val="32"/>
          <w:szCs w:val="32"/>
          <w:highlight w:val="none"/>
        </w:rPr>
        <w:t>万元，其中：基本支出</w:t>
      </w:r>
      <w:r>
        <w:rPr>
          <w:rFonts w:hint="eastAsia" w:ascii="仿宋_GB2312" w:eastAsia="仿宋_GB2312" w:cs="仿宋_GB2312"/>
          <w:bCs/>
          <w:color w:val="auto"/>
          <w:kern w:val="0"/>
          <w:sz w:val="32"/>
          <w:szCs w:val="32"/>
          <w:highlight w:val="none"/>
          <w:lang w:val="en-US" w:eastAsia="zh-CN"/>
        </w:rPr>
        <w:t>1</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198.52</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20.10</w:t>
      </w:r>
      <w:r>
        <w:rPr>
          <w:rFonts w:hint="eastAsia" w:ascii="仿宋_GB2312" w:eastAsia="仿宋_GB2312" w:cs="仿宋_GB2312"/>
          <w:bCs/>
          <w:color w:val="auto"/>
          <w:kern w:val="0"/>
          <w:sz w:val="32"/>
          <w:szCs w:val="32"/>
          <w:highlight w:val="none"/>
        </w:rPr>
        <w:t>%；项目支出</w:t>
      </w:r>
      <w:r>
        <w:rPr>
          <w:rFonts w:hint="eastAsia" w:ascii="仿宋_GB2312" w:eastAsia="仿宋_GB2312" w:cs="仿宋_GB2312"/>
          <w:bCs/>
          <w:color w:val="auto"/>
          <w:kern w:val="0"/>
          <w:sz w:val="32"/>
          <w:szCs w:val="32"/>
          <w:highlight w:val="none"/>
          <w:lang w:val="en-US" w:eastAsia="zh-CN"/>
        </w:rPr>
        <w:t>4</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763.26</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79.90</w:t>
      </w:r>
      <w:r>
        <w:rPr>
          <w:rFonts w:hint="eastAsia" w:ascii="仿宋_GB2312" w:eastAsia="仿宋_GB2312" w:cs="仿宋_GB2312"/>
          <w:bCs/>
          <w:color w:val="auto"/>
          <w:kern w:val="0"/>
          <w:sz w:val="32"/>
          <w:szCs w:val="32"/>
          <w:highlight w:val="none"/>
        </w:rPr>
        <w:t>%。</w:t>
      </w:r>
    </w:p>
    <w:p w14:paraId="4B985F1F">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四、</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年度财政拨款收入支出决算情况</w:t>
      </w:r>
    </w:p>
    <w:p w14:paraId="51A5DBCC">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本部门2020年度财政拨款收、支总决算</w:t>
      </w:r>
      <w:r>
        <w:rPr>
          <w:rFonts w:hint="eastAsia" w:ascii="仿宋_GB2312" w:eastAsia="仿宋_GB2312" w:cs="仿宋_GB2312"/>
          <w:bCs/>
          <w:color w:val="auto"/>
          <w:kern w:val="0"/>
          <w:sz w:val="32"/>
          <w:szCs w:val="32"/>
          <w:highlight w:val="none"/>
          <w:lang w:val="en-US" w:eastAsia="zh-CN"/>
        </w:rPr>
        <w:t>5</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972.25</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5</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972.25</w:t>
      </w:r>
      <w:r>
        <w:rPr>
          <w:rFonts w:hint="eastAsia" w:ascii="仿宋_GB2312" w:eastAsia="仿宋_GB2312" w:cs="仿宋_GB2312"/>
          <w:bCs/>
          <w:color w:val="auto"/>
          <w:kern w:val="0"/>
          <w:sz w:val="32"/>
          <w:szCs w:val="32"/>
          <w:highlight w:val="none"/>
        </w:rPr>
        <w:t>万元。与2019年相比，财政拨款收、支总计各</w:t>
      </w:r>
      <w:r>
        <w:rPr>
          <w:rFonts w:hint="eastAsia" w:ascii="仿宋_GB2312" w:eastAsia="仿宋_GB2312" w:cs="仿宋_GB2312"/>
          <w:bCs/>
          <w:color w:val="auto"/>
          <w:kern w:val="0"/>
          <w:sz w:val="32"/>
          <w:szCs w:val="32"/>
          <w:highlight w:val="none"/>
          <w:lang w:eastAsia="zh-CN"/>
        </w:rPr>
        <w:t>减少</w:t>
      </w:r>
      <w:r>
        <w:rPr>
          <w:rFonts w:hint="eastAsia" w:ascii="仿宋_GB2312" w:eastAsia="仿宋_GB2312" w:cs="仿宋_GB2312"/>
          <w:bCs/>
          <w:color w:val="auto"/>
          <w:kern w:val="0"/>
          <w:sz w:val="32"/>
          <w:szCs w:val="32"/>
          <w:highlight w:val="none"/>
          <w:lang w:val="en-US" w:eastAsia="zh-CN"/>
        </w:rPr>
        <w:t>7</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271.05</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各下降</w:t>
      </w:r>
      <w:r>
        <w:rPr>
          <w:rFonts w:hint="eastAsia" w:ascii="仿宋_GB2312" w:eastAsia="仿宋_GB2312" w:cs="仿宋_GB2312"/>
          <w:bCs/>
          <w:color w:val="auto"/>
          <w:kern w:val="0"/>
          <w:sz w:val="32"/>
          <w:szCs w:val="32"/>
          <w:highlight w:val="none"/>
          <w:lang w:val="en-US" w:eastAsia="zh-CN"/>
        </w:rPr>
        <w:t>54.90</w:t>
      </w:r>
      <w:r>
        <w:rPr>
          <w:rFonts w:hint="eastAsia" w:ascii="仿宋_GB2312" w:eastAsia="仿宋_GB2312" w:cs="仿宋_GB2312"/>
          <w:bCs/>
          <w:color w:val="auto"/>
          <w:kern w:val="0"/>
          <w:sz w:val="32"/>
          <w:szCs w:val="32"/>
          <w:highlight w:val="none"/>
        </w:rPr>
        <w:t>%。</w:t>
      </w:r>
    </w:p>
    <w:p w14:paraId="1AAD97BD">
      <w:pPr>
        <w:autoSpaceDE w:val="0"/>
        <w:autoSpaceDN w:val="0"/>
        <w:adjustRightInd w:val="0"/>
        <w:spacing w:line="580" w:lineRule="exact"/>
        <w:ind w:firstLine="643" w:firstLineChars="200"/>
        <w:jc w:val="left"/>
        <w:rPr>
          <w:rFonts w:eastAsia="仿宋_GB2312"/>
          <w:b/>
          <w:color w:val="auto"/>
          <w:kern w:val="0"/>
          <w:sz w:val="32"/>
          <w:szCs w:val="32"/>
          <w:highlight w:val="none"/>
        </w:rPr>
      </w:pPr>
      <w:r>
        <w:rPr>
          <w:rFonts w:hint="eastAsia" w:ascii="仿宋_GB2312" w:eastAsia="仿宋_GB2312" w:cs="仿宋_GB2312"/>
          <w:b/>
          <w:color w:val="auto"/>
          <w:kern w:val="0"/>
          <w:sz w:val="32"/>
          <w:szCs w:val="32"/>
          <w:highlight w:val="none"/>
        </w:rPr>
        <w:t>五、</w:t>
      </w:r>
      <w:r>
        <w:rPr>
          <w:rFonts w:hint="eastAsia" w:eastAsia="仿宋_GB2312"/>
          <w:b/>
          <w:color w:val="auto"/>
          <w:kern w:val="0"/>
          <w:sz w:val="32"/>
          <w:szCs w:val="32"/>
          <w:highlight w:val="none"/>
        </w:rPr>
        <w:t>2020年度一般公共预算财政拨款支出决算情况</w:t>
      </w:r>
    </w:p>
    <w:p w14:paraId="5F343C92">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（一）财政拨款支出决算情况。 </w:t>
      </w:r>
    </w:p>
    <w:p w14:paraId="34DD6103">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部门2020年度财政拨款支出</w:t>
      </w:r>
      <w:r>
        <w:rPr>
          <w:rFonts w:hint="eastAsia" w:ascii="仿宋_GB2312" w:eastAsia="仿宋_GB2312" w:cs="仿宋_GB2312"/>
          <w:bCs/>
          <w:color w:val="auto"/>
          <w:kern w:val="0"/>
          <w:sz w:val="32"/>
          <w:szCs w:val="32"/>
          <w:highlight w:val="none"/>
          <w:lang w:val="en-US" w:eastAsia="zh-CN"/>
        </w:rPr>
        <w:t>3</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304.78</w:t>
      </w:r>
      <w:r>
        <w:rPr>
          <w:rFonts w:hint="eastAsia" w:ascii="仿宋_GB2312" w:eastAsia="仿宋_GB2312" w:cs="仿宋_GB2312"/>
          <w:bCs/>
          <w:color w:val="auto"/>
          <w:kern w:val="0"/>
          <w:sz w:val="32"/>
          <w:szCs w:val="32"/>
          <w:highlight w:val="none"/>
        </w:rPr>
        <w:t>万元，占本年支出合计的</w:t>
      </w:r>
      <w:r>
        <w:rPr>
          <w:rFonts w:hint="eastAsia" w:ascii="仿宋_GB2312" w:eastAsia="仿宋_GB2312" w:cs="仿宋_GB2312"/>
          <w:bCs/>
          <w:color w:val="auto"/>
          <w:kern w:val="0"/>
          <w:sz w:val="32"/>
          <w:szCs w:val="32"/>
          <w:highlight w:val="none"/>
          <w:lang w:val="en-US" w:eastAsia="zh-CN"/>
        </w:rPr>
        <w:t>55.43</w:t>
      </w:r>
      <w:r>
        <w:rPr>
          <w:rFonts w:hint="eastAsia" w:ascii="仿宋_GB2312" w:eastAsia="仿宋_GB2312" w:cs="仿宋_GB2312"/>
          <w:bCs/>
          <w:color w:val="auto"/>
          <w:kern w:val="0"/>
          <w:sz w:val="32"/>
          <w:szCs w:val="32"/>
          <w:highlight w:val="none"/>
        </w:rPr>
        <w:t>%。与2019年相比，财政拨款支出</w:t>
      </w:r>
      <w:r>
        <w:rPr>
          <w:rFonts w:hint="eastAsia" w:ascii="仿宋_GB2312" w:eastAsia="仿宋_GB2312" w:cs="仿宋_GB2312"/>
          <w:bCs/>
          <w:color w:val="auto"/>
          <w:kern w:val="0"/>
          <w:sz w:val="32"/>
          <w:szCs w:val="32"/>
          <w:highlight w:val="none"/>
          <w:lang w:eastAsia="zh-CN"/>
        </w:rPr>
        <w:t>减少</w:t>
      </w:r>
      <w:r>
        <w:rPr>
          <w:rFonts w:hint="eastAsia" w:ascii="仿宋_GB2312" w:eastAsia="仿宋_GB2312" w:cs="仿宋_GB2312"/>
          <w:bCs/>
          <w:color w:val="auto"/>
          <w:kern w:val="0"/>
          <w:sz w:val="32"/>
          <w:szCs w:val="32"/>
          <w:highlight w:val="none"/>
          <w:lang w:val="en-US" w:eastAsia="zh-CN"/>
        </w:rPr>
        <w:t>9</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336.64</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73.86</w:t>
      </w:r>
      <w:r>
        <w:rPr>
          <w:rFonts w:hint="eastAsia" w:ascii="仿宋_GB2312" w:eastAsia="仿宋_GB2312" w:cs="仿宋_GB2312"/>
          <w:bCs/>
          <w:color w:val="auto"/>
          <w:kern w:val="0"/>
          <w:sz w:val="32"/>
          <w:szCs w:val="32"/>
          <w:highlight w:val="none"/>
        </w:rPr>
        <w:t>%。</w:t>
      </w:r>
    </w:p>
    <w:p w14:paraId="014CD4DE">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（二）财政拨款支出决算结构情况</w:t>
      </w:r>
    </w:p>
    <w:p w14:paraId="2D900CB1">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 xml:space="preserve">     2020年度财政拨款支出</w:t>
      </w:r>
      <w:r>
        <w:rPr>
          <w:rFonts w:hint="eastAsia" w:ascii="仿宋_GB2312" w:eastAsia="仿宋_GB2312" w:cs="仿宋_GB2312"/>
          <w:bCs/>
          <w:color w:val="auto"/>
          <w:kern w:val="0"/>
          <w:sz w:val="32"/>
          <w:szCs w:val="32"/>
          <w:highlight w:val="none"/>
          <w:lang w:val="en-US" w:eastAsia="zh-CN"/>
        </w:rPr>
        <w:t>3</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304.78</w:t>
      </w:r>
      <w:r>
        <w:rPr>
          <w:rFonts w:hint="eastAsia" w:ascii="仿宋_GB2312" w:eastAsia="仿宋_GB2312" w:cs="仿宋_GB2312"/>
          <w:bCs/>
          <w:color w:val="auto"/>
          <w:kern w:val="0"/>
          <w:sz w:val="32"/>
          <w:szCs w:val="32"/>
          <w:highlight w:val="none"/>
        </w:rPr>
        <w:t>万元，主要用于以下方面：社会保障和就业（类）支出</w:t>
      </w:r>
      <w:r>
        <w:rPr>
          <w:rFonts w:hint="eastAsia" w:ascii="仿宋_GB2312" w:eastAsia="仿宋_GB2312" w:cs="仿宋_GB2312"/>
          <w:bCs/>
          <w:color w:val="auto"/>
          <w:kern w:val="0"/>
          <w:sz w:val="32"/>
          <w:szCs w:val="32"/>
          <w:highlight w:val="none"/>
          <w:lang w:val="en-US" w:eastAsia="zh-CN"/>
        </w:rPr>
        <w:t>2</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179.11</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65.94</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卫生健康</w:t>
      </w:r>
      <w:r>
        <w:rPr>
          <w:rFonts w:hint="eastAsia" w:ascii="仿宋_GB2312" w:eastAsia="仿宋_GB2312" w:cs="仿宋_GB2312"/>
          <w:bCs/>
          <w:color w:val="auto"/>
          <w:kern w:val="0"/>
          <w:sz w:val="32"/>
          <w:szCs w:val="32"/>
          <w:highlight w:val="none"/>
        </w:rPr>
        <w:t>（类）支出</w:t>
      </w:r>
      <w:r>
        <w:rPr>
          <w:rFonts w:hint="eastAsia" w:ascii="仿宋_GB2312" w:eastAsia="仿宋_GB2312" w:cs="仿宋_GB2312"/>
          <w:bCs/>
          <w:color w:val="auto"/>
          <w:kern w:val="0"/>
          <w:sz w:val="32"/>
          <w:szCs w:val="32"/>
          <w:highlight w:val="none"/>
          <w:lang w:val="en-US" w:eastAsia="zh-CN"/>
        </w:rPr>
        <w:t>90.32</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2.73</w:t>
      </w:r>
      <w:r>
        <w:rPr>
          <w:rFonts w:hint="eastAsia" w:ascii="仿宋_GB2312" w:eastAsia="仿宋_GB2312" w:cs="仿宋_GB2312"/>
          <w:bCs/>
          <w:color w:val="auto"/>
          <w:kern w:val="0"/>
          <w:sz w:val="32"/>
          <w:szCs w:val="32"/>
          <w:highlight w:val="none"/>
        </w:rPr>
        <w:t>%；资源勘探</w:t>
      </w:r>
      <w:r>
        <w:rPr>
          <w:rFonts w:hint="eastAsia" w:ascii="仿宋_GB2312" w:eastAsia="仿宋_GB2312" w:cs="仿宋_GB2312"/>
          <w:bCs/>
          <w:color w:val="auto"/>
          <w:kern w:val="0"/>
          <w:sz w:val="32"/>
          <w:szCs w:val="32"/>
          <w:highlight w:val="none"/>
          <w:lang w:eastAsia="zh-CN"/>
        </w:rPr>
        <w:t>工业</w:t>
      </w:r>
      <w:r>
        <w:rPr>
          <w:rFonts w:hint="eastAsia" w:ascii="仿宋_GB2312" w:eastAsia="仿宋_GB2312" w:cs="仿宋_GB2312"/>
          <w:bCs/>
          <w:color w:val="auto"/>
          <w:kern w:val="0"/>
          <w:sz w:val="32"/>
          <w:szCs w:val="32"/>
          <w:highlight w:val="none"/>
        </w:rPr>
        <w:t>信息等（类）支出</w:t>
      </w:r>
      <w:r>
        <w:rPr>
          <w:rFonts w:hint="eastAsia" w:ascii="仿宋_GB2312" w:eastAsia="仿宋_GB2312" w:cs="仿宋_GB2312"/>
          <w:bCs/>
          <w:color w:val="auto"/>
          <w:kern w:val="0"/>
          <w:sz w:val="32"/>
          <w:szCs w:val="32"/>
          <w:highlight w:val="none"/>
          <w:lang w:val="en-US" w:eastAsia="zh-CN"/>
        </w:rPr>
        <w:t>952.53</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28.82</w:t>
      </w:r>
      <w:r>
        <w:rPr>
          <w:rFonts w:hint="eastAsia" w:ascii="仿宋_GB2312" w:eastAsia="仿宋_GB2312" w:cs="仿宋_GB2312"/>
          <w:bCs/>
          <w:color w:val="auto"/>
          <w:kern w:val="0"/>
          <w:sz w:val="32"/>
          <w:szCs w:val="32"/>
          <w:highlight w:val="none"/>
        </w:rPr>
        <w:t>%；住房保障（类）支出</w:t>
      </w:r>
      <w:r>
        <w:rPr>
          <w:rFonts w:hint="eastAsia" w:ascii="仿宋_GB2312" w:eastAsia="仿宋_GB2312" w:cs="仿宋_GB2312"/>
          <w:bCs/>
          <w:color w:val="auto"/>
          <w:kern w:val="0"/>
          <w:sz w:val="32"/>
          <w:szCs w:val="32"/>
          <w:highlight w:val="none"/>
          <w:lang w:val="en-US" w:eastAsia="zh-CN"/>
        </w:rPr>
        <w:t>82.81</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2.51</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p>
    <w:p w14:paraId="3653B700">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（三）财政拨款支出决算具体情况</w:t>
      </w:r>
    </w:p>
    <w:p w14:paraId="7B4A021E">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2020年度财政拨款支出年初预算为</w:t>
      </w:r>
      <w:r>
        <w:rPr>
          <w:rFonts w:hint="eastAsia" w:ascii="仿宋_GB2312" w:eastAsia="仿宋_GB2312" w:cs="仿宋_GB2312"/>
          <w:bCs/>
          <w:color w:val="auto"/>
          <w:kern w:val="0"/>
          <w:sz w:val="32"/>
          <w:szCs w:val="32"/>
          <w:highlight w:val="none"/>
          <w:lang w:val="en-US" w:eastAsia="zh-CN"/>
        </w:rPr>
        <w:t>5</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237.65</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3</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304.78</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63.10</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小</w:t>
      </w:r>
      <w:r>
        <w:rPr>
          <w:rFonts w:hint="eastAsia" w:ascii="仿宋_GB2312" w:eastAsia="仿宋_GB2312" w:cs="仿宋_GB2312"/>
          <w:bCs/>
          <w:color w:val="auto"/>
          <w:kern w:val="0"/>
          <w:sz w:val="32"/>
          <w:szCs w:val="32"/>
          <w:highlight w:val="none"/>
        </w:rPr>
        <w:t>于预算数的主要原因：</w:t>
      </w:r>
      <w:r>
        <w:rPr>
          <w:rFonts w:hint="eastAsia" w:ascii="仿宋_GB2312" w:eastAsia="仿宋_GB2312" w:cs="仿宋_GB2312"/>
          <w:bCs/>
          <w:color w:val="auto"/>
          <w:kern w:val="0"/>
          <w:sz w:val="32"/>
          <w:szCs w:val="32"/>
          <w:highlight w:val="none"/>
          <w:lang w:eastAsia="zh-CN"/>
        </w:rPr>
        <w:t>财政核减“三供一业”分离移交补助资金额度，年终批复市属监管企业年度专项审计费结转下年支付。</w:t>
      </w:r>
      <w:r>
        <w:rPr>
          <w:rFonts w:hint="eastAsia" w:ascii="仿宋_GB2312" w:eastAsia="仿宋_GB2312" w:cs="仿宋_GB2312"/>
          <w:bCs/>
          <w:color w:val="auto"/>
          <w:kern w:val="0"/>
          <w:sz w:val="32"/>
          <w:szCs w:val="32"/>
          <w:highlight w:val="none"/>
        </w:rPr>
        <w:t>其中：</w:t>
      </w:r>
    </w:p>
    <w:p w14:paraId="5B6E2B1B">
      <w:pPr>
        <w:autoSpaceDE w:val="0"/>
        <w:autoSpaceDN w:val="0"/>
        <w:adjustRightInd w:val="0"/>
        <w:spacing w:line="580" w:lineRule="exact"/>
        <w:ind w:firstLine="640" w:firstLineChars="200"/>
        <w:jc w:val="left"/>
        <w:rPr>
          <w:rFonts w:hint="default"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1.社会保障和就业（类）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行政单位离退休</w:t>
      </w:r>
      <w:r>
        <w:rPr>
          <w:rFonts w:hint="eastAsia" w:ascii="仿宋_GB2312" w:eastAsia="仿宋_GB2312" w:cs="仿宋_GB2312"/>
          <w:bCs/>
          <w:color w:val="auto"/>
          <w:kern w:val="0"/>
          <w:sz w:val="32"/>
          <w:szCs w:val="32"/>
          <w:highlight w:val="none"/>
        </w:rPr>
        <w:t>（项）。年初预算为</w:t>
      </w:r>
      <w:r>
        <w:rPr>
          <w:rFonts w:hint="eastAsia" w:ascii="仿宋_GB2312" w:eastAsia="仿宋_GB2312" w:cs="仿宋_GB2312"/>
          <w:bCs/>
          <w:color w:val="auto"/>
          <w:kern w:val="0"/>
          <w:sz w:val="32"/>
          <w:szCs w:val="32"/>
          <w:highlight w:val="none"/>
          <w:lang w:val="en-US" w:eastAsia="zh-CN"/>
        </w:rPr>
        <w:t>19.28</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22.56</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117.01</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动用上年结转结余</w:t>
      </w:r>
      <w:r>
        <w:rPr>
          <w:rFonts w:hint="eastAsia" w:ascii="仿宋_GB2312" w:eastAsia="仿宋_GB2312" w:cs="仿宋_GB2312"/>
          <w:bCs/>
          <w:color w:val="auto"/>
          <w:kern w:val="0"/>
          <w:sz w:val="32"/>
          <w:szCs w:val="32"/>
          <w:highlight w:val="none"/>
          <w:lang w:val="en-US" w:eastAsia="zh-CN"/>
        </w:rPr>
        <w:t>和</w:t>
      </w:r>
      <w:r>
        <w:rPr>
          <w:rFonts w:hint="eastAsia" w:ascii="仿宋_GB2312" w:eastAsia="仿宋_GB2312" w:cs="仿宋_GB2312"/>
          <w:bCs/>
          <w:color w:val="auto"/>
          <w:kern w:val="0"/>
          <w:sz w:val="32"/>
          <w:szCs w:val="32"/>
          <w:highlight w:val="none"/>
          <w:lang w:eastAsia="zh-CN"/>
        </w:rPr>
        <w:t>增人增资</w:t>
      </w:r>
      <w:r>
        <w:rPr>
          <w:rFonts w:hint="eastAsia" w:ascii="仿宋_GB2312" w:eastAsia="仿宋_GB2312" w:cs="仿宋_GB2312"/>
          <w:bCs/>
          <w:color w:val="auto"/>
          <w:kern w:val="0"/>
          <w:sz w:val="32"/>
          <w:szCs w:val="32"/>
          <w:highlight w:val="none"/>
          <w:lang w:val="en-US" w:eastAsia="zh-CN"/>
        </w:rPr>
        <w:t>。</w:t>
      </w:r>
    </w:p>
    <w:p w14:paraId="3346E958">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2.社会保障和就业（类）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机关事业单位基本养老保险缴费支出</w:t>
      </w:r>
      <w:r>
        <w:rPr>
          <w:rFonts w:hint="eastAsia" w:ascii="仿宋_GB2312" w:eastAsia="仿宋_GB2312" w:cs="仿宋_GB2312"/>
          <w:bCs/>
          <w:color w:val="auto"/>
          <w:kern w:val="0"/>
          <w:sz w:val="32"/>
          <w:szCs w:val="32"/>
          <w:highlight w:val="none"/>
        </w:rPr>
        <w:t xml:space="preserve">（项）。年初预算为 </w:t>
      </w:r>
      <w:r>
        <w:rPr>
          <w:rFonts w:hint="eastAsia" w:ascii="仿宋_GB2312" w:eastAsia="仿宋_GB2312" w:cs="仿宋_GB2312"/>
          <w:bCs/>
          <w:color w:val="auto"/>
          <w:kern w:val="0"/>
          <w:sz w:val="32"/>
          <w:szCs w:val="32"/>
          <w:highlight w:val="none"/>
          <w:lang w:val="en-US" w:eastAsia="zh-CN"/>
        </w:rPr>
        <w:t>99.12</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110.02</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111.00</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大</w:t>
      </w:r>
      <w:r>
        <w:rPr>
          <w:rFonts w:hint="eastAsia" w:ascii="仿宋_GB2312" w:eastAsia="仿宋_GB2312" w:cs="仿宋_GB2312"/>
          <w:bCs/>
          <w:color w:val="auto"/>
          <w:kern w:val="0"/>
          <w:sz w:val="32"/>
          <w:szCs w:val="32"/>
          <w:highlight w:val="none"/>
        </w:rPr>
        <w:t>于预算数的主要原因是</w:t>
      </w:r>
      <w:r>
        <w:rPr>
          <w:rFonts w:hint="eastAsia" w:ascii="仿宋_GB2312" w:eastAsia="仿宋_GB2312" w:cs="仿宋_GB2312"/>
          <w:bCs/>
          <w:color w:val="auto"/>
          <w:kern w:val="0"/>
          <w:sz w:val="32"/>
          <w:szCs w:val="32"/>
          <w:highlight w:val="none"/>
          <w:lang w:eastAsia="zh-CN"/>
        </w:rPr>
        <w:t>动用上年结转结余</w:t>
      </w:r>
      <w:r>
        <w:rPr>
          <w:rFonts w:hint="eastAsia" w:ascii="仿宋_GB2312" w:eastAsia="仿宋_GB2312" w:cs="仿宋_GB2312"/>
          <w:bCs/>
          <w:color w:val="auto"/>
          <w:kern w:val="0"/>
          <w:sz w:val="32"/>
          <w:szCs w:val="32"/>
          <w:highlight w:val="none"/>
          <w:lang w:val="en-US" w:eastAsia="zh-CN"/>
        </w:rPr>
        <w:t>和</w:t>
      </w:r>
      <w:r>
        <w:rPr>
          <w:rFonts w:hint="eastAsia" w:ascii="仿宋_GB2312" w:eastAsia="仿宋_GB2312" w:cs="仿宋_GB2312"/>
          <w:bCs/>
          <w:color w:val="auto"/>
          <w:kern w:val="0"/>
          <w:sz w:val="32"/>
          <w:szCs w:val="32"/>
          <w:highlight w:val="none"/>
          <w:lang w:eastAsia="zh-CN"/>
        </w:rPr>
        <w:t>增人增资</w:t>
      </w:r>
      <w:r>
        <w:rPr>
          <w:rFonts w:hint="eastAsia" w:ascii="仿宋_GB2312" w:eastAsia="仿宋_GB2312" w:cs="仿宋_GB2312"/>
          <w:bCs/>
          <w:color w:val="auto"/>
          <w:kern w:val="0"/>
          <w:sz w:val="32"/>
          <w:szCs w:val="32"/>
          <w:highlight w:val="none"/>
        </w:rPr>
        <w:t xml:space="preserve">。 </w:t>
      </w:r>
    </w:p>
    <w:p w14:paraId="714337B9">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3.社会保障和就业（类）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机关事业单位职业年金缴费支出</w:t>
      </w:r>
      <w:r>
        <w:rPr>
          <w:rFonts w:hint="eastAsia" w:ascii="仿宋_GB2312" w:eastAsia="仿宋_GB2312" w:cs="仿宋_GB2312"/>
          <w:bCs/>
          <w:color w:val="auto"/>
          <w:kern w:val="0"/>
          <w:sz w:val="32"/>
          <w:szCs w:val="32"/>
          <w:highlight w:val="none"/>
        </w:rPr>
        <w:t>（项）。年初预算为</w:t>
      </w:r>
      <w:r>
        <w:rPr>
          <w:rFonts w:hint="eastAsia" w:ascii="仿宋_GB2312" w:eastAsia="仿宋_GB2312" w:cs="仿宋_GB2312"/>
          <w:bCs/>
          <w:color w:val="auto"/>
          <w:kern w:val="0"/>
          <w:sz w:val="32"/>
          <w:szCs w:val="32"/>
          <w:highlight w:val="none"/>
          <w:lang w:val="en-US" w:eastAsia="zh-CN"/>
        </w:rPr>
        <w:t>49.56</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49.56</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100</w:t>
      </w:r>
      <w:r>
        <w:rPr>
          <w:rFonts w:hint="eastAsia" w:ascii="仿宋_GB2312" w:eastAsia="仿宋_GB2312" w:cs="仿宋_GB2312"/>
          <w:bCs/>
          <w:color w:val="auto"/>
          <w:kern w:val="0"/>
          <w:sz w:val="32"/>
          <w:szCs w:val="32"/>
          <w:highlight w:val="none"/>
        </w:rPr>
        <w:t>%。</w:t>
      </w:r>
    </w:p>
    <w:p w14:paraId="6C4ECA1B">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val="en-US" w:eastAsia="zh-CN"/>
        </w:rPr>
        <w:t>4.</w:t>
      </w:r>
      <w:r>
        <w:rPr>
          <w:rFonts w:hint="eastAsia" w:ascii="仿宋_GB2312" w:eastAsia="仿宋_GB2312" w:cs="仿宋_GB2312"/>
          <w:bCs/>
          <w:color w:val="auto"/>
          <w:kern w:val="0"/>
          <w:sz w:val="32"/>
          <w:szCs w:val="32"/>
          <w:highlight w:val="none"/>
        </w:rPr>
        <w:t>社会保障和就业（类）</w:t>
      </w:r>
      <w:r>
        <w:rPr>
          <w:rFonts w:hint="eastAsia" w:ascii="仿宋_GB2312" w:eastAsia="仿宋_GB2312" w:cs="仿宋_GB2312"/>
          <w:bCs/>
          <w:color w:val="auto"/>
          <w:kern w:val="0"/>
          <w:sz w:val="32"/>
          <w:szCs w:val="32"/>
          <w:highlight w:val="none"/>
          <w:lang w:eastAsia="zh-CN"/>
        </w:rPr>
        <w:t>企业改革补助</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其他企业改革发展补助（项）。年初预算为</w:t>
      </w:r>
      <w:r>
        <w:rPr>
          <w:rFonts w:hint="eastAsia" w:ascii="仿宋_GB2312" w:eastAsia="仿宋_GB2312" w:cs="仿宋_GB2312"/>
          <w:bCs/>
          <w:color w:val="auto"/>
          <w:kern w:val="0"/>
          <w:sz w:val="32"/>
          <w:szCs w:val="32"/>
          <w:highlight w:val="none"/>
          <w:lang w:val="en-US" w:eastAsia="zh-CN"/>
        </w:rPr>
        <w:t>3</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305.00</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422.09</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12.77</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小</w:t>
      </w:r>
      <w:r>
        <w:rPr>
          <w:rFonts w:hint="eastAsia" w:ascii="仿宋_GB2312" w:eastAsia="仿宋_GB2312" w:cs="仿宋_GB2312"/>
          <w:bCs/>
          <w:color w:val="auto"/>
          <w:kern w:val="0"/>
          <w:sz w:val="32"/>
          <w:szCs w:val="32"/>
          <w:highlight w:val="none"/>
        </w:rPr>
        <w:t>于预算数的主要原因是</w:t>
      </w:r>
      <w:r>
        <w:rPr>
          <w:rFonts w:hint="eastAsia" w:ascii="仿宋_GB2312" w:eastAsia="仿宋_GB2312" w:cs="仿宋_GB2312"/>
          <w:bCs/>
          <w:color w:val="auto"/>
          <w:kern w:val="0"/>
          <w:sz w:val="32"/>
          <w:szCs w:val="32"/>
          <w:highlight w:val="none"/>
          <w:lang w:eastAsia="zh-CN"/>
        </w:rPr>
        <w:t>财政核减“三供一业”分离移交补助资金额度，年终批复市属监管企业年度专项审计费结转下年支付。</w:t>
      </w:r>
    </w:p>
    <w:p w14:paraId="305A1963">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val="en-US" w:eastAsia="zh-CN"/>
        </w:rPr>
        <w:t>5.</w:t>
      </w:r>
      <w:r>
        <w:rPr>
          <w:rFonts w:hint="eastAsia" w:ascii="仿宋_GB2312" w:eastAsia="仿宋_GB2312" w:cs="仿宋_GB2312"/>
          <w:bCs/>
          <w:color w:val="auto"/>
          <w:kern w:val="0"/>
          <w:sz w:val="32"/>
          <w:szCs w:val="32"/>
          <w:highlight w:val="none"/>
        </w:rPr>
        <w:t>社会保障和就业（类）</w:t>
      </w:r>
      <w:r>
        <w:rPr>
          <w:rFonts w:hint="eastAsia" w:ascii="仿宋_GB2312" w:eastAsia="仿宋_GB2312" w:cs="仿宋_GB2312"/>
          <w:bCs/>
          <w:color w:val="auto"/>
          <w:kern w:val="0"/>
          <w:sz w:val="32"/>
          <w:szCs w:val="32"/>
          <w:highlight w:val="none"/>
          <w:lang w:eastAsia="zh-CN"/>
        </w:rPr>
        <w:t>其他</w:t>
      </w:r>
      <w:r>
        <w:rPr>
          <w:rFonts w:hint="eastAsia" w:ascii="仿宋_GB2312" w:eastAsia="仿宋_GB2312" w:cs="仿宋_GB2312"/>
          <w:bCs/>
          <w:color w:val="auto"/>
          <w:kern w:val="0"/>
          <w:sz w:val="32"/>
          <w:szCs w:val="32"/>
          <w:highlight w:val="none"/>
        </w:rPr>
        <w:t>社会保障和就业</w:t>
      </w:r>
      <w:r>
        <w:rPr>
          <w:rFonts w:hint="eastAsia" w:ascii="仿宋_GB2312" w:eastAsia="仿宋_GB2312" w:cs="仿宋_GB2312"/>
          <w:bCs/>
          <w:color w:val="auto"/>
          <w:kern w:val="0"/>
          <w:sz w:val="32"/>
          <w:szCs w:val="32"/>
          <w:highlight w:val="none"/>
          <w:lang w:eastAsia="zh-CN"/>
        </w:rPr>
        <w:t>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其他</w:t>
      </w:r>
      <w:r>
        <w:rPr>
          <w:rFonts w:hint="eastAsia" w:ascii="仿宋_GB2312" w:eastAsia="仿宋_GB2312" w:cs="仿宋_GB2312"/>
          <w:bCs/>
          <w:color w:val="auto"/>
          <w:kern w:val="0"/>
          <w:sz w:val="32"/>
          <w:szCs w:val="32"/>
          <w:highlight w:val="none"/>
        </w:rPr>
        <w:t>社会保障和就业</w:t>
      </w:r>
      <w:r>
        <w:rPr>
          <w:rFonts w:hint="eastAsia" w:ascii="仿宋_GB2312" w:eastAsia="仿宋_GB2312" w:cs="仿宋_GB2312"/>
          <w:bCs/>
          <w:color w:val="auto"/>
          <w:kern w:val="0"/>
          <w:sz w:val="32"/>
          <w:szCs w:val="32"/>
          <w:highlight w:val="none"/>
          <w:lang w:eastAsia="zh-CN"/>
        </w:rPr>
        <w:t>支出（项）。年初预算为</w:t>
      </w:r>
      <w:r>
        <w:rPr>
          <w:rFonts w:hint="eastAsia" w:ascii="仿宋_GB2312" w:eastAsia="仿宋_GB2312" w:cs="仿宋_GB2312"/>
          <w:bCs/>
          <w:color w:val="auto"/>
          <w:kern w:val="0"/>
          <w:sz w:val="32"/>
          <w:szCs w:val="32"/>
          <w:highlight w:val="none"/>
          <w:lang w:val="en-US" w:eastAsia="zh-CN"/>
        </w:rPr>
        <w:t>600.00</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1</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574.88</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262.48</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财政追加职教幼教补助预算。</w:t>
      </w:r>
    </w:p>
    <w:p w14:paraId="7358624F">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6.</w:t>
      </w:r>
      <w:r>
        <w:rPr>
          <w:rFonts w:hint="eastAsia" w:ascii="仿宋_GB2312" w:eastAsia="仿宋_GB2312" w:cs="仿宋_GB2312"/>
          <w:bCs/>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行政事业单位医疗</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行政单位医疗（项）。年初预算为</w:t>
      </w:r>
      <w:r>
        <w:rPr>
          <w:rFonts w:hint="eastAsia" w:ascii="仿宋_GB2312" w:eastAsia="仿宋_GB2312" w:cs="仿宋_GB2312"/>
          <w:bCs/>
          <w:color w:val="auto"/>
          <w:kern w:val="0"/>
          <w:sz w:val="32"/>
          <w:szCs w:val="32"/>
          <w:highlight w:val="none"/>
          <w:lang w:val="en-US" w:eastAsia="zh-CN"/>
        </w:rPr>
        <w:t>36.97</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37.22</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100.68</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val="en-US" w:eastAsia="zh-CN"/>
        </w:rPr>
        <w:t>增人增资</w:t>
      </w:r>
      <w:r>
        <w:rPr>
          <w:rFonts w:hint="eastAsia" w:ascii="仿宋_GB2312" w:eastAsia="仿宋_GB2312" w:cs="仿宋_GB2312"/>
          <w:bCs/>
          <w:color w:val="auto"/>
          <w:kern w:val="0"/>
          <w:sz w:val="32"/>
          <w:szCs w:val="32"/>
          <w:highlight w:val="none"/>
        </w:rPr>
        <w:t>。</w:t>
      </w:r>
    </w:p>
    <w:p w14:paraId="31243784">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7.</w:t>
      </w:r>
      <w:r>
        <w:rPr>
          <w:rFonts w:hint="eastAsia" w:ascii="仿宋_GB2312" w:eastAsia="仿宋_GB2312" w:cs="仿宋_GB2312"/>
          <w:bCs/>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行政事业单位医疗</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事业单位医疗（项）。年初预算为</w:t>
      </w:r>
      <w:r>
        <w:rPr>
          <w:rFonts w:hint="eastAsia" w:ascii="仿宋_GB2312" w:eastAsia="仿宋_GB2312" w:cs="仿宋_GB2312"/>
          <w:bCs/>
          <w:color w:val="auto"/>
          <w:kern w:val="0"/>
          <w:sz w:val="32"/>
          <w:szCs w:val="32"/>
          <w:highlight w:val="none"/>
          <w:lang w:val="en-US" w:eastAsia="zh-CN"/>
        </w:rPr>
        <w:t>9.59</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14.21</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148.18</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动用上年结转结余和增人增资</w:t>
      </w:r>
      <w:r>
        <w:rPr>
          <w:rFonts w:hint="eastAsia" w:ascii="仿宋_GB2312" w:eastAsia="仿宋_GB2312" w:cs="仿宋_GB2312"/>
          <w:bCs/>
          <w:color w:val="auto"/>
          <w:kern w:val="0"/>
          <w:sz w:val="32"/>
          <w:szCs w:val="32"/>
          <w:highlight w:val="none"/>
        </w:rPr>
        <w:t>。</w:t>
      </w:r>
    </w:p>
    <w:p w14:paraId="6FC26B6D">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8.</w:t>
      </w:r>
      <w:r>
        <w:rPr>
          <w:rFonts w:hint="eastAsia" w:ascii="仿宋_GB2312" w:eastAsia="仿宋_GB2312" w:cs="仿宋_GB2312"/>
          <w:bCs/>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行政事业单位医疗</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公务员医疗补助（项）。年初预算为</w:t>
      </w:r>
      <w:r>
        <w:rPr>
          <w:rFonts w:hint="eastAsia" w:ascii="仿宋_GB2312" w:eastAsia="仿宋_GB2312" w:cs="仿宋_GB2312"/>
          <w:bCs/>
          <w:color w:val="auto"/>
          <w:kern w:val="0"/>
          <w:sz w:val="32"/>
          <w:szCs w:val="32"/>
          <w:highlight w:val="none"/>
          <w:lang w:val="en-US" w:eastAsia="zh-CN"/>
        </w:rPr>
        <w:t>35.12</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38.75</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110.34</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财政下达机关、参公单位</w:t>
      </w:r>
      <w:r>
        <w:rPr>
          <w:rFonts w:hint="eastAsia" w:ascii="仿宋_GB2312" w:eastAsia="仿宋_GB2312" w:cs="仿宋_GB2312"/>
          <w:bCs/>
          <w:color w:val="auto"/>
          <w:kern w:val="0"/>
          <w:sz w:val="32"/>
          <w:szCs w:val="32"/>
          <w:highlight w:val="none"/>
          <w:lang w:val="en-US" w:eastAsia="zh-CN"/>
        </w:rPr>
        <w:t>2020年7月-2021年6月公务员医疗补助差额</w:t>
      </w:r>
      <w:r>
        <w:rPr>
          <w:rFonts w:hint="eastAsia" w:ascii="仿宋_GB2312" w:eastAsia="仿宋_GB2312" w:cs="仿宋_GB2312"/>
          <w:bCs/>
          <w:color w:val="auto"/>
          <w:kern w:val="0"/>
          <w:sz w:val="32"/>
          <w:szCs w:val="32"/>
          <w:highlight w:val="none"/>
        </w:rPr>
        <w:t>。</w:t>
      </w:r>
    </w:p>
    <w:p w14:paraId="0D6587DA">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9.</w:t>
      </w:r>
      <w:r>
        <w:rPr>
          <w:rFonts w:hint="eastAsia" w:ascii="仿宋_GB2312" w:eastAsia="仿宋_GB2312" w:cs="仿宋_GB2312"/>
          <w:bCs/>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行政事业单位医疗</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其他行政事业单位医疗支出（项）。年初预算为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0.14</w:t>
      </w:r>
      <w:r>
        <w:rPr>
          <w:rFonts w:hint="eastAsia" w:ascii="仿宋_GB2312" w:eastAsia="仿宋_GB2312" w:cs="仿宋_GB2312"/>
          <w:bCs/>
          <w:color w:val="auto"/>
          <w:kern w:val="0"/>
          <w:sz w:val="32"/>
          <w:szCs w:val="32"/>
          <w:highlight w:val="none"/>
        </w:rPr>
        <w:t>万元。决算数大于预算数的主要原因是</w:t>
      </w:r>
      <w:r>
        <w:rPr>
          <w:rFonts w:hint="eastAsia" w:ascii="仿宋_GB2312" w:eastAsia="仿宋_GB2312" w:cs="仿宋_GB2312"/>
          <w:bCs/>
          <w:color w:val="auto"/>
          <w:kern w:val="0"/>
          <w:sz w:val="32"/>
          <w:szCs w:val="32"/>
          <w:highlight w:val="none"/>
          <w:lang w:eastAsia="zh-CN"/>
        </w:rPr>
        <w:t>动用上年结转结余</w:t>
      </w:r>
      <w:r>
        <w:rPr>
          <w:rFonts w:hint="eastAsia" w:ascii="仿宋_GB2312" w:eastAsia="仿宋_GB2312" w:cs="仿宋_GB2312"/>
          <w:bCs/>
          <w:color w:val="auto"/>
          <w:kern w:val="0"/>
          <w:sz w:val="32"/>
          <w:szCs w:val="32"/>
          <w:highlight w:val="none"/>
        </w:rPr>
        <w:t>。</w:t>
      </w:r>
    </w:p>
    <w:p w14:paraId="1781E0DD">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10.</w:t>
      </w:r>
      <w:r>
        <w:rPr>
          <w:rFonts w:hint="eastAsia" w:ascii="仿宋_GB2312" w:eastAsia="仿宋_GB2312" w:cs="仿宋_GB2312"/>
          <w:bCs/>
          <w:color w:val="auto"/>
          <w:kern w:val="0"/>
          <w:sz w:val="32"/>
          <w:szCs w:val="32"/>
          <w:highlight w:val="none"/>
          <w:lang w:eastAsia="zh-CN"/>
        </w:rPr>
        <w:t>资源勘探工业信息等支出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国有资产监管</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行政运行（项）。年初预算为</w:t>
      </w:r>
      <w:r>
        <w:rPr>
          <w:rFonts w:hint="eastAsia" w:ascii="仿宋_GB2312" w:eastAsia="仿宋_GB2312" w:cs="仿宋_GB2312"/>
          <w:bCs/>
          <w:color w:val="auto"/>
          <w:kern w:val="0"/>
          <w:sz w:val="32"/>
          <w:szCs w:val="32"/>
          <w:highlight w:val="none"/>
          <w:lang w:val="en-US" w:eastAsia="zh-CN"/>
        </w:rPr>
        <w:t>559.67</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663.32</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118.52</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财政统一下达的工资性支出、其他交通费、绩效奖等</w:t>
      </w:r>
      <w:r>
        <w:rPr>
          <w:rFonts w:hint="eastAsia" w:ascii="仿宋_GB2312" w:eastAsia="仿宋_GB2312" w:cs="仿宋_GB2312"/>
          <w:bCs/>
          <w:color w:val="auto"/>
          <w:kern w:val="0"/>
          <w:sz w:val="32"/>
          <w:szCs w:val="32"/>
          <w:highlight w:val="none"/>
        </w:rPr>
        <w:t>。</w:t>
      </w:r>
    </w:p>
    <w:p w14:paraId="7B060320">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11.</w:t>
      </w:r>
      <w:r>
        <w:rPr>
          <w:rFonts w:hint="eastAsia" w:ascii="仿宋_GB2312" w:eastAsia="仿宋_GB2312" w:cs="仿宋_GB2312"/>
          <w:bCs/>
          <w:color w:val="auto"/>
          <w:kern w:val="0"/>
          <w:sz w:val="32"/>
          <w:szCs w:val="32"/>
          <w:highlight w:val="none"/>
          <w:lang w:eastAsia="zh-CN"/>
        </w:rPr>
        <w:t>资源勘探工业信息等支出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国有资产监管</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一般行政管理事务（项）。年初预算为</w:t>
      </w:r>
      <w:r>
        <w:rPr>
          <w:rFonts w:hint="eastAsia" w:ascii="仿宋_GB2312" w:eastAsia="仿宋_GB2312" w:cs="仿宋_GB2312"/>
          <w:bCs/>
          <w:color w:val="auto"/>
          <w:kern w:val="0"/>
          <w:sz w:val="32"/>
          <w:szCs w:val="32"/>
          <w:highlight w:val="none"/>
          <w:lang w:val="en-US" w:eastAsia="zh-CN"/>
        </w:rPr>
        <w:t>272.72</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88.98</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32.63</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小</w:t>
      </w:r>
      <w:r>
        <w:rPr>
          <w:rFonts w:hint="eastAsia" w:ascii="仿宋_GB2312" w:eastAsia="仿宋_GB2312" w:cs="仿宋_GB2312"/>
          <w:bCs/>
          <w:color w:val="auto"/>
          <w:kern w:val="0"/>
          <w:sz w:val="32"/>
          <w:szCs w:val="32"/>
          <w:highlight w:val="none"/>
        </w:rPr>
        <w:t>于预算数的主要原因是</w:t>
      </w:r>
      <w:r>
        <w:rPr>
          <w:rFonts w:hint="eastAsia" w:ascii="仿宋_GB2312" w:eastAsia="仿宋_GB2312" w:cs="仿宋_GB2312"/>
          <w:bCs/>
          <w:color w:val="auto"/>
          <w:kern w:val="0"/>
          <w:sz w:val="32"/>
          <w:szCs w:val="32"/>
          <w:highlight w:val="none"/>
          <w:lang w:eastAsia="zh-CN"/>
        </w:rPr>
        <w:t>部分项目资金未使用完毕。</w:t>
      </w:r>
    </w:p>
    <w:p w14:paraId="3DB10F26">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12</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资源勘探工业信息等支出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国有资产监管</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其他国有资产监管支出（项）。年初预算为</w:t>
      </w:r>
      <w:r>
        <w:rPr>
          <w:rFonts w:hint="eastAsia" w:ascii="仿宋_GB2312" w:eastAsia="仿宋_GB2312" w:cs="仿宋_GB2312"/>
          <w:bCs/>
          <w:color w:val="auto"/>
          <w:kern w:val="0"/>
          <w:sz w:val="32"/>
          <w:szCs w:val="32"/>
          <w:highlight w:val="none"/>
          <w:lang w:val="en-US" w:eastAsia="zh-CN"/>
        </w:rPr>
        <w:t>176.27</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200.23</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113.59</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大</w:t>
      </w:r>
      <w:r>
        <w:rPr>
          <w:rFonts w:hint="eastAsia" w:ascii="仿宋_GB2312" w:eastAsia="仿宋_GB2312" w:cs="仿宋_GB2312"/>
          <w:bCs/>
          <w:color w:val="auto"/>
          <w:kern w:val="0"/>
          <w:sz w:val="32"/>
          <w:szCs w:val="32"/>
          <w:highlight w:val="none"/>
        </w:rPr>
        <w:t>于预算数的主要原因是</w:t>
      </w:r>
      <w:r>
        <w:rPr>
          <w:rFonts w:hint="eastAsia" w:ascii="仿宋_GB2312" w:eastAsia="仿宋_GB2312" w:cs="仿宋_GB2312"/>
          <w:bCs/>
          <w:color w:val="auto"/>
          <w:kern w:val="0"/>
          <w:sz w:val="32"/>
          <w:szCs w:val="32"/>
          <w:highlight w:val="none"/>
          <w:lang w:eastAsia="zh-CN"/>
        </w:rPr>
        <w:t>增人增资</w:t>
      </w:r>
      <w:r>
        <w:rPr>
          <w:rFonts w:hint="eastAsia" w:ascii="仿宋_GB2312" w:eastAsia="仿宋_GB2312" w:cs="仿宋_GB2312"/>
          <w:bCs/>
          <w:color w:val="auto"/>
          <w:kern w:val="0"/>
          <w:sz w:val="32"/>
          <w:szCs w:val="32"/>
          <w:highlight w:val="none"/>
        </w:rPr>
        <w:t>。</w:t>
      </w:r>
    </w:p>
    <w:p w14:paraId="2296BF33">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13</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住房保障支出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住房改革支出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住房公积金（项）。年初预算为</w:t>
      </w:r>
      <w:r>
        <w:rPr>
          <w:rFonts w:hint="eastAsia" w:ascii="仿宋_GB2312" w:eastAsia="仿宋_GB2312" w:cs="仿宋_GB2312"/>
          <w:bCs/>
          <w:color w:val="auto"/>
          <w:kern w:val="0"/>
          <w:sz w:val="32"/>
          <w:szCs w:val="32"/>
          <w:highlight w:val="none"/>
          <w:lang w:val="en-US" w:eastAsia="zh-CN"/>
        </w:rPr>
        <w:t>74.34</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82.12</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110.47</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增人增资</w:t>
      </w:r>
      <w:r>
        <w:rPr>
          <w:rFonts w:hint="eastAsia" w:ascii="仿宋_GB2312" w:eastAsia="仿宋_GB2312" w:cs="仿宋_GB2312"/>
          <w:bCs/>
          <w:color w:val="auto"/>
          <w:kern w:val="0"/>
          <w:sz w:val="32"/>
          <w:szCs w:val="32"/>
          <w:highlight w:val="none"/>
        </w:rPr>
        <w:t>。</w:t>
      </w:r>
    </w:p>
    <w:p w14:paraId="1E2E7D7E">
      <w:pPr>
        <w:autoSpaceDE w:val="0"/>
        <w:autoSpaceDN w:val="0"/>
        <w:adjustRightInd w:val="0"/>
        <w:spacing w:line="560" w:lineRule="exact"/>
        <w:ind w:firstLine="640" w:firstLineChars="200"/>
        <w:jc w:val="left"/>
        <w:rPr>
          <w:rFonts w:hint="default"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lang w:val="en-US" w:eastAsia="zh-CN"/>
        </w:rPr>
        <w:t>14</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住房保障支出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住房改革支出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购房补贴（项）。年初预算为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lang w:eastAsia="zh-CN"/>
        </w:rPr>
        <w:t>万元，支出决算为</w:t>
      </w:r>
      <w:r>
        <w:rPr>
          <w:rFonts w:hint="eastAsia" w:ascii="仿宋_GB2312" w:eastAsia="仿宋_GB2312" w:cs="仿宋_GB2312"/>
          <w:bCs/>
          <w:color w:val="auto"/>
          <w:kern w:val="0"/>
          <w:sz w:val="32"/>
          <w:szCs w:val="32"/>
          <w:highlight w:val="none"/>
          <w:lang w:val="en-US" w:eastAsia="zh-CN"/>
        </w:rPr>
        <w:t>0.69</w:t>
      </w:r>
      <w:r>
        <w:rPr>
          <w:rFonts w:hint="eastAsia" w:ascii="仿宋_GB2312" w:eastAsia="仿宋_GB2312" w:cs="仿宋_GB2312"/>
          <w:bCs/>
          <w:color w:val="auto"/>
          <w:kern w:val="0"/>
          <w:sz w:val="32"/>
          <w:szCs w:val="32"/>
          <w:highlight w:val="none"/>
        </w:rPr>
        <w:t>万元。决算数大于预算数的主要原因是</w:t>
      </w:r>
      <w:r>
        <w:rPr>
          <w:rFonts w:hint="eastAsia" w:ascii="仿宋_GB2312" w:eastAsia="仿宋_GB2312" w:cs="仿宋_GB2312"/>
          <w:bCs/>
          <w:color w:val="auto"/>
          <w:kern w:val="0"/>
          <w:sz w:val="32"/>
          <w:szCs w:val="32"/>
          <w:highlight w:val="none"/>
          <w:lang w:eastAsia="zh-CN"/>
        </w:rPr>
        <w:t>财政下达</w:t>
      </w:r>
      <w:r>
        <w:rPr>
          <w:rFonts w:hint="eastAsia" w:ascii="仿宋_GB2312" w:eastAsia="仿宋_GB2312" w:cs="仿宋_GB2312"/>
          <w:bCs/>
          <w:color w:val="auto"/>
          <w:kern w:val="0"/>
          <w:sz w:val="32"/>
          <w:szCs w:val="32"/>
          <w:highlight w:val="none"/>
          <w:lang w:val="en-US" w:eastAsia="zh-CN"/>
        </w:rPr>
        <w:t>2020年购房补贴</w:t>
      </w:r>
      <w:r>
        <w:rPr>
          <w:rFonts w:hint="eastAsia" w:ascii="仿宋_GB2312" w:eastAsia="仿宋_GB2312" w:cs="仿宋_GB2312"/>
          <w:bCs/>
          <w:color w:val="auto"/>
          <w:kern w:val="0"/>
          <w:sz w:val="32"/>
          <w:szCs w:val="32"/>
          <w:highlight w:val="none"/>
        </w:rPr>
        <w:t>。</w:t>
      </w:r>
    </w:p>
    <w:p w14:paraId="65A12B61">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bCs w:val="0"/>
          <w:color w:val="auto"/>
          <w:kern w:val="0"/>
          <w:sz w:val="32"/>
          <w:szCs w:val="32"/>
          <w:highlight w:val="none"/>
        </w:rPr>
        <w:t>六、</w:t>
      </w:r>
      <w:r>
        <w:rPr>
          <w:rFonts w:hint="eastAsia" w:ascii="仿宋_GB2312" w:eastAsia="仿宋_GB2312" w:cs="仿宋_GB2312"/>
          <w:b/>
          <w:color w:val="auto"/>
          <w:kern w:val="0"/>
          <w:sz w:val="32"/>
          <w:szCs w:val="32"/>
          <w:highlight w:val="none"/>
        </w:rPr>
        <w:t>2020年度一般公共预算财政拨款基本支出决算情况</w:t>
      </w:r>
    </w:p>
    <w:p w14:paraId="200B5095">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2020年度财政拨款基本支出</w:t>
      </w:r>
      <w:r>
        <w:rPr>
          <w:rFonts w:hint="eastAsia" w:ascii="仿宋_GB2312" w:eastAsia="仿宋_GB2312" w:cs="仿宋_GB2312"/>
          <w:bCs/>
          <w:color w:val="auto"/>
          <w:kern w:val="0"/>
          <w:sz w:val="32"/>
          <w:szCs w:val="32"/>
          <w:highlight w:val="none"/>
          <w:lang w:val="en-US" w:eastAsia="zh-CN"/>
        </w:rPr>
        <w:t>1</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198.51</w:t>
      </w:r>
      <w:r>
        <w:rPr>
          <w:rFonts w:hint="eastAsia" w:ascii="仿宋_GB2312" w:eastAsia="仿宋_GB2312" w:cs="仿宋_GB2312"/>
          <w:bCs/>
          <w:color w:val="auto"/>
          <w:kern w:val="0"/>
          <w:sz w:val="32"/>
          <w:szCs w:val="32"/>
          <w:highlight w:val="none"/>
        </w:rPr>
        <w:t>万元，其中：</w:t>
      </w:r>
    </w:p>
    <w:p w14:paraId="00D4F031">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人员经费</w:t>
      </w:r>
      <w:r>
        <w:rPr>
          <w:rFonts w:hint="eastAsia" w:ascii="仿宋_GB2312" w:eastAsia="仿宋_GB2312" w:cs="仿宋_GB2312"/>
          <w:bCs/>
          <w:color w:val="auto"/>
          <w:kern w:val="0"/>
          <w:sz w:val="32"/>
          <w:szCs w:val="32"/>
          <w:highlight w:val="none"/>
          <w:lang w:val="en-US" w:eastAsia="zh-CN"/>
        </w:rPr>
        <w:t>1</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064.49</w:t>
      </w:r>
      <w:r>
        <w:rPr>
          <w:rFonts w:hint="eastAsia" w:ascii="仿宋_GB2312" w:eastAsia="仿宋_GB2312" w:cs="仿宋_GB2312"/>
          <w:bCs/>
          <w:color w:val="auto"/>
          <w:kern w:val="0"/>
          <w:sz w:val="32"/>
          <w:szCs w:val="32"/>
          <w:highlight w:val="none"/>
        </w:rPr>
        <w:t>万元，主要包括：基本工资</w:t>
      </w:r>
      <w:r>
        <w:rPr>
          <w:rFonts w:hint="eastAsia" w:ascii="仿宋_GB2312" w:eastAsia="仿宋_GB2312" w:cs="仿宋_GB2312"/>
          <w:bCs/>
          <w:color w:val="auto"/>
          <w:kern w:val="0"/>
          <w:sz w:val="32"/>
          <w:szCs w:val="32"/>
          <w:highlight w:val="none"/>
          <w:lang w:val="en-US" w:eastAsia="zh-CN"/>
        </w:rPr>
        <w:t>231.62</w:t>
      </w:r>
      <w:r>
        <w:rPr>
          <w:rFonts w:hint="eastAsia" w:ascii="仿宋_GB2312" w:eastAsia="仿宋_GB2312" w:cs="仿宋_GB2312"/>
          <w:bCs/>
          <w:color w:val="auto"/>
          <w:kern w:val="0"/>
          <w:sz w:val="32"/>
          <w:szCs w:val="32"/>
          <w:highlight w:val="none"/>
        </w:rPr>
        <w:t>万元、津贴补贴</w:t>
      </w:r>
      <w:r>
        <w:rPr>
          <w:rFonts w:hint="eastAsia" w:ascii="仿宋_GB2312" w:eastAsia="仿宋_GB2312" w:cs="仿宋_GB2312"/>
          <w:bCs/>
          <w:color w:val="auto"/>
          <w:kern w:val="0"/>
          <w:sz w:val="32"/>
          <w:szCs w:val="32"/>
          <w:highlight w:val="none"/>
          <w:lang w:val="en-US" w:eastAsia="zh-CN"/>
        </w:rPr>
        <w:t>151.51</w:t>
      </w:r>
      <w:r>
        <w:rPr>
          <w:rFonts w:hint="eastAsia" w:ascii="仿宋_GB2312" w:eastAsia="仿宋_GB2312" w:cs="仿宋_GB2312"/>
          <w:bCs/>
          <w:color w:val="auto"/>
          <w:kern w:val="0"/>
          <w:sz w:val="32"/>
          <w:szCs w:val="32"/>
          <w:highlight w:val="none"/>
        </w:rPr>
        <w:t>万元、奖金</w:t>
      </w:r>
      <w:r>
        <w:rPr>
          <w:rFonts w:hint="eastAsia" w:ascii="仿宋_GB2312" w:eastAsia="仿宋_GB2312" w:cs="仿宋_GB2312"/>
          <w:bCs/>
          <w:color w:val="auto"/>
          <w:kern w:val="0"/>
          <w:sz w:val="32"/>
          <w:szCs w:val="32"/>
          <w:highlight w:val="none"/>
          <w:lang w:val="en-US" w:eastAsia="zh-CN"/>
        </w:rPr>
        <w:t>220.54</w:t>
      </w:r>
      <w:r>
        <w:rPr>
          <w:rFonts w:hint="eastAsia" w:ascii="仿宋_GB2312" w:eastAsia="仿宋_GB2312" w:cs="仿宋_GB2312"/>
          <w:bCs/>
          <w:color w:val="auto"/>
          <w:kern w:val="0"/>
          <w:sz w:val="32"/>
          <w:szCs w:val="32"/>
          <w:highlight w:val="none"/>
        </w:rPr>
        <w:t>万元、绩效工资</w:t>
      </w:r>
      <w:r>
        <w:rPr>
          <w:rFonts w:hint="eastAsia" w:ascii="仿宋_GB2312" w:eastAsia="仿宋_GB2312" w:cs="仿宋_GB2312"/>
          <w:bCs/>
          <w:color w:val="auto"/>
          <w:kern w:val="0"/>
          <w:sz w:val="32"/>
          <w:szCs w:val="32"/>
          <w:highlight w:val="none"/>
          <w:lang w:val="en-US" w:eastAsia="zh-CN"/>
        </w:rPr>
        <w:t>94.63</w:t>
      </w:r>
      <w:r>
        <w:rPr>
          <w:rFonts w:hint="eastAsia" w:ascii="仿宋_GB2312" w:eastAsia="仿宋_GB2312" w:cs="仿宋_GB2312"/>
          <w:bCs/>
          <w:color w:val="auto"/>
          <w:kern w:val="0"/>
          <w:sz w:val="32"/>
          <w:szCs w:val="32"/>
          <w:highlight w:val="none"/>
        </w:rPr>
        <w:t>万元、机关事业单位基本养老保险缴费</w:t>
      </w:r>
      <w:r>
        <w:rPr>
          <w:rFonts w:hint="eastAsia" w:ascii="仿宋_GB2312" w:eastAsia="仿宋_GB2312" w:cs="仿宋_GB2312"/>
          <w:bCs/>
          <w:color w:val="auto"/>
          <w:kern w:val="0"/>
          <w:sz w:val="32"/>
          <w:szCs w:val="32"/>
          <w:highlight w:val="none"/>
          <w:lang w:val="en-US" w:eastAsia="zh-CN"/>
        </w:rPr>
        <w:t>110.02</w:t>
      </w:r>
      <w:r>
        <w:rPr>
          <w:rFonts w:hint="eastAsia" w:ascii="仿宋_GB2312" w:eastAsia="仿宋_GB2312" w:cs="仿宋_GB2312"/>
          <w:bCs/>
          <w:color w:val="auto"/>
          <w:kern w:val="0"/>
          <w:sz w:val="32"/>
          <w:szCs w:val="32"/>
          <w:highlight w:val="none"/>
        </w:rPr>
        <w:t>万元、职业年金缴费</w:t>
      </w:r>
      <w:r>
        <w:rPr>
          <w:rFonts w:hint="eastAsia" w:ascii="仿宋_GB2312" w:eastAsia="仿宋_GB2312" w:cs="仿宋_GB2312"/>
          <w:bCs/>
          <w:color w:val="auto"/>
          <w:kern w:val="0"/>
          <w:sz w:val="32"/>
          <w:szCs w:val="32"/>
          <w:highlight w:val="none"/>
          <w:lang w:val="en-US" w:eastAsia="zh-CN"/>
        </w:rPr>
        <w:t>50.38</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 w:val="0"/>
          <w:bCs/>
          <w:color w:val="auto"/>
          <w:kern w:val="0"/>
          <w:sz w:val="32"/>
          <w:szCs w:val="32"/>
          <w:highlight w:val="none"/>
        </w:rPr>
        <w:t>职工基本医疗保险缴费</w:t>
      </w:r>
      <w:r>
        <w:rPr>
          <w:rFonts w:hint="eastAsia" w:ascii="仿宋_GB2312" w:eastAsia="仿宋_GB2312" w:cs="仿宋_GB2312"/>
          <w:b w:val="0"/>
          <w:bCs/>
          <w:color w:val="auto"/>
          <w:kern w:val="0"/>
          <w:sz w:val="32"/>
          <w:szCs w:val="32"/>
          <w:highlight w:val="none"/>
          <w:lang w:val="en-US" w:eastAsia="zh-CN"/>
        </w:rPr>
        <w:t>51.43万元、公务员医疗补助缴费38.75万元、</w:t>
      </w:r>
      <w:r>
        <w:rPr>
          <w:rFonts w:hint="eastAsia" w:ascii="仿宋_GB2312" w:eastAsia="仿宋_GB2312" w:cs="仿宋_GB2312"/>
          <w:bCs/>
          <w:color w:val="auto"/>
          <w:kern w:val="0"/>
          <w:sz w:val="32"/>
          <w:szCs w:val="32"/>
          <w:highlight w:val="none"/>
        </w:rPr>
        <w:t>其他社会保障缴费</w:t>
      </w:r>
      <w:r>
        <w:rPr>
          <w:rFonts w:hint="eastAsia" w:ascii="仿宋_GB2312" w:eastAsia="仿宋_GB2312" w:cs="仿宋_GB2312"/>
          <w:bCs/>
          <w:color w:val="auto"/>
          <w:kern w:val="0"/>
          <w:sz w:val="32"/>
          <w:szCs w:val="32"/>
          <w:highlight w:val="none"/>
          <w:lang w:val="en-US" w:eastAsia="zh-CN"/>
        </w:rPr>
        <w:t>6.99</w:t>
      </w:r>
      <w:r>
        <w:rPr>
          <w:rFonts w:hint="eastAsia" w:ascii="仿宋_GB2312" w:eastAsia="仿宋_GB2312" w:cs="仿宋_GB2312"/>
          <w:bCs/>
          <w:color w:val="auto"/>
          <w:kern w:val="0"/>
          <w:sz w:val="32"/>
          <w:szCs w:val="32"/>
          <w:highlight w:val="none"/>
        </w:rPr>
        <w:t>万元、住房公积金</w:t>
      </w:r>
      <w:r>
        <w:rPr>
          <w:rFonts w:hint="eastAsia" w:ascii="仿宋_GB2312" w:eastAsia="仿宋_GB2312" w:cs="仿宋_GB2312"/>
          <w:bCs/>
          <w:color w:val="auto"/>
          <w:kern w:val="0"/>
          <w:sz w:val="32"/>
          <w:szCs w:val="32"/>
          <w:highlight w:val="none"/>
          <w:lang w:val="en-US" w:eastAsia="zh-CN"/>
        </w:rPr>
        <w:t>85.25万元</w:t>
      </w:r>
      <w:r>
        <w:rPr>
          <w:rFonts w:hint="eastAsia" w:ascii="仿宋_GB2312" w:eastAsia="仿宋_GB2312" w:cs="仿宋_GB2312"/>
          <w:bCs/>
          <w:color w:val="auto"/>
          <w:kern w:val="0"/>
          <w:sz w:val="32"/>
          <w:szCs w:val="32"/>
          <w:highlight w:val="none"/>
        </w:rPr>
        <w:t>、其他工资福利支出</w:t>
      </w:r>
      <w:r>
        <w:rPr>
          <w:rFonts w:hint="eastAsia" w:ascii="仿宋_GB2312" w:eastAsia="仿宋_GB2312" w:cs="仿宋_GB2312"/>
          <w:bCs/>
          <w:color w:val="auto"/>
          <w:kern w:val="0"/>
          <w:sz w:val="32"/>
          <w:szCs w:val="32"/>
          <w:highlight w:val="none"/>
          <w:lang w:val="en-US" w:eastAsia="zh-CN"/>
        </w:rPr>
        <w:t>2.84万元</w:t>
      </w:r>
      <w:r>
        <w:rPr>
          <w:rFonts w:hint="eastAsia" w:ascii="仿宋_GB2312" w:eastAsia="仿宋_GB2312" w:cs="仿宋_GB2312"/>
          <w:bCs/>
          <w:color w:val="auto"/>
          <w:kern w:val="0"/>
          <w:sz w:val="32"/>
          <w:szCs w:val="32"/>
          <w:highlight w:val="none"/>
        </w:rPr>
        <w:t>、退休费</w:t>
      </w:r>
      <w:r>
        <w:rPr>
          <w:rFonts w:hint="eastAsia" w:ascii="仿宋_GB2312" w:eastAsia="仿宋_GB2312" w:cs="仿宋_GB2312"/>
          <w:bCs/>
          <w:color w:val="auto"/>
          <w:kern w:val="0"/>
          <w:sz w:val="32"/>
          <w:szCs w:val="32"/>
          <w:highlight w:val="none"/>
          <w:lang w:val="en-US" w:eastAsia="zh-CN"/>
        </w:rPr>
        <w:t>20.46万元</w:t>
      </w:r>
      <w:r>
        <w:rPr>
          <w:rFonts w:hint="eastAsia" w:ascii="仿宋_GB2312" w:eastAsia="仿宋_GB2312" w:cs="仿宋_GB2312"/>
          <w:bCs/>
          <w:color w:val="auto"/>
          <w:kern w:val="0"/>
          <w:sz w:val="32"/>
          <w:szCs w:val="32"/>
          <w:highlight w:val="none"/>
        </w:rPr>
        <w:t>、奖励金</w:t>
      </w:r>
      <w:r>
        <w:rPr>
          <w:rFonts w:hint="eastAsia" w:ascii="仿宋_GB2312" w:eastAsia="仿宋_GB2312" w:cs="仿宋_GB2312"/>
          <w:bCs/>
          <w:color w:val="auto"/>
          <w:kern w:val="0"/>
          <w:sz w:val="32"/>
          <w:szCs w:val="32"/>
          <w:highlight w:val="none"/>
          <w:lang w:val="en-US" w:eastAsia="zh-CN"/>
        </w:rPr>
        <w:t>0.08万元</w:t>
      </w:r>
      <w:r>
        <w:rPr>
          <w:rFonts w:hint="eastAsia" w:ascii="仿宋_GB2312" w:eastAsia="仿宋_GB2312" w:cs="仿宋_GB2312"/>
          <w:bCs/>
          <w:color w:val="auto"/>
          <w:kern w:val="0"/>
          <w:sz w:val="32"/>
          <w:szCs w:val="32"/>
          <w:highlight w:val="none"/>
        </w:rPr>
        <w:t>；</w:t>
      </w:r>
    </w:p>
    <w:p w14:paraId="0B367027">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公用经费</w:t>
      </w:r>
      <w:r>
        <w:rPr>
          <w:rFonts w:hint="eastAsia" w:ascii="仿宋_GB2312" w:eastAsia="仿宋_GB2312" w:cs="仿宋_GB2312"/>
          <w:bCs/>
          <w:color w:val="auto"/>
          <w:kern w:val="0"/>
          <w:sz w:val="32"/>
          <w:szCs w:val="32"/>
          <w:highlight w:val="none"/>
          <w:lang w:val="en-US" w:eastAsia="zh-CN"/>
        </w:rPr>
        <w:t>134.02</w:t>
      </w:r>
      <w:r>
        <w:rPr>
          <w:rFonts w:hint="eastAsia" w:ascii="仿宋_GB2312" w:eastAsia="仿宋_GB2312" w:cs="仿宋_GB2312"/>
          <w:bCs/>
          <w:color w:val="auto"/>
          <w:kern w:val="0"/>
          <w:sz w:val="32"/>
          <w:szCs w:val="32"/>
          <w:highlight w:val="none"/>
        </w:rPr>
        <w:t>万元，主要包括：办公费</w:t>
      </w:r>
      <w:r>
        <w:rPr>
          <w:rFonts w:hint="eastAsia" w:ascii="仿宋_GB2312" w:eastAsia="仿宋_GB2312" w:cs="仿宋_GB2312"/>
          <w:bCs/>
          <w:color w:val="auto"/>
          <w:kern w:val="0"/>
          <w:sz w:val="32"/>
          <w:szCs w:val="32"/>
          <w:highlight w:val="none"/>
          <w:lang w:val="en-US" w:eastAsia="zh-CN"/>
        </w:rPr>
        <w:t>11.06</w:t>
      </w:r>
      <w:r>
        <w:rPr>
          <w:rFonts w:hint="eastAsia" w:ascii="仿宋_GB2312" w:eastAsia="仿宋_GB2312" w:cs="仿宋_GB2312"/>
          <w:bCs/>
          <w:color w:val="auto"/>
          <w:kern w:val="0"/>
          <w:sz w:val="32"/>
          <w:szCs w:val="32"/>
          <w:highlight w:val="none"/>
        </w:rPr>
        <w:t>万元、手续费</w:t>
      </w:r>
      <w:r>
        <w:rPr>
          <w:rFonts w:hint="eastAsia" w:ascii="仿宋_GB2312" w:eastAsia="仿宋_GB2312" w:cs="仿宋_GB2312"/>
          <w:bCs/>
          <w:color w:val="auto"/>
          <w:kern w:val="0"/>
          <w:sz w:val="32"/>
          <w:szCs w:val="32"/>
          <w:highlight w:val="none"/>
          <w:lang w:val="en-US" w:eastAsia="zh-CN"/>
        </w:rPr>
        <w:t>0.15</w:t>
      </w:r>
      <w:r>
        <w:rPr>
          <w:rFonts w:hint="eastAsia" w:ascii="仿宋_GB2312" w:eastAsia="仿宋_GB2312" w:cs="仿宋_GB2312"/>
          <w:bCs/>
          <w:color w:val="auto"/>
          <w:kern w:val="0"/>
          <w:sz w:val="32"/>
          <w:szCs w:val="32"/>
          <w:highlight w:val="none"/>
        </w:rPr>
        <w:t>万元、电费</w:t>
      </w:r>
      <w:r>
        <w:rPr>
          <w:rFonts w:hint="eastAsia" w:ascii="仿宋_GB2312" w:eastAsia="仿宋_GB2312" w:cs="仿宋_GB2312"/>
          <w:bCs/>
          <w:color w:val="auto"/>
          <w:kern w:val="0"/>
          <w:sz w:val="32"/>
          <w:szCs w:val="32"/>
          <w:highlight w:val="none"/>
          <w:lang w:val="en-US" w:eastAsia="zh-CN"/>
        </w:rPr>
        <w:t>5.30</w:t>
      </w:r>
      <w:r>
        <w:rPr>
          <w:rFonts w:hint="eastAsia" w:ascii="仿宋_GB2312" w:eastAsia="仿宋_GB2312" w:cs="仿宋_GB2312"/>
          <w:bCs/>
          <w:color w:val="auto"/>
          <w:kern w:val="0"/>
          <w:sz w:val="32"/>
          <w:szCs w:val="32"/>
          <w:highlight w:val="none"/>
        </w:rPr>
        <w:t>万元、邮电费</w:t>
      </w:r>
      <w:r>
        <w:rPr>
          <w:rFonts w:hint="eastAsia" w:ascii="仿宋_GB2312" w:eastAsia="仿宋_GB2312" w:cs="仿宋_GB2312"/>
          <w:bCs/>
          <w:color w:val="auto"/>
          <w:kern w:val="0"/>
          <w:sz w:val="32"/>
          <w:szCs w:val="32"/>
          <w:highlight w:val="none"/>
          <w:lang w:val="en-US" w:eastAsia="zh-CN"/>
        </w:rPr>
        <w:t>9.16</w:t>
      </w:r>
      <w:r>
        <w:rPr>
          <w:rFonts w:hint="eastAsia" w:ascii="仿宋_GB2312" w:eastAsia="仿宋_GB2312" w:cs="仿宋_GB2312"/>
          <w:bCs/>
          <w:color w:val="auto"/>
          <w:kern w:val="0"/>
          <w:sz w:val="32"/>
          <w:szCs w:val="32"/>
          <w:highlight w:val="none"/>
        </w:rPr>
        <w:t>万元、物业管理费</w:t>
      </w:r>
      <w:r>
        <w:rPr>
          <w:rFonts w:hint="eastAsia" w:ascii="仿宋_GB2312" w:eastAsia="仿宋_GB2312" w:cs="仿宋_GB2312"/>
          <w:bCs/>
          <w:color w:val="auto"/>
          <w:kern w:val="0"/>
          <w:sz w:val="32"/>
          <w:szCs w:val="32"/>
          <w:highlight w:val="none"/>
          <w:lang w:val="en-US" w:eastAsia="zh-CN"/>
        </w:rPr>
        <w:t>0.35</w:t>
      </w:r>
      <w:r>
        <w:rPr>
          <w:rFonts w:hint="eastAsia" w:ascii="仿宋_GB2312" w:eastAsia="仿宋_GB2312" w:cs="仿宋_GB2312"/>
          <w:bCs/>
          <w:color w:val="auto"/>
          <w:kern w:val="0"/>
          <w:sz w:val="32"/>
          <w:szCs w:val="32"/>
          <w:highlight w:val="none"/>
        </w:rPr>
        <w:t>万元、差旅费</w:t>
      </w:r>
      <w:r>
        <w:rPr>
          <w:rFonts w:hint="eastAsia" w:ascii="仿宋_GB2312" w:eastAsia="仿宋_GB2312" w:cs="仿宋_GB2312"/>
          <w:bCs/>
          <w:color w:val="auto"/>
          <w:kern w:val="0"/>
          <w:sz w:val="32"/>
          <w:szCs w:val="32"/>
          <w:highlight w:val="none"/>
          <w:lang w:val="en-US" w:eastAsia="zh-CN"/>
        </w:rPr>
        <w:t>14.11</w:t>
      </w:r>
      <w:r>
        <w:rPr>
          <w:rFonts w:hint="eastAsia" w:ascii="仿宋_GB2312" w:eastAsia="仿宋_GB2312" w:cs="仿宋_GB2312"/>
          <w:bCs/>
          <w:color w:val="auto"/>
          <w:kern w:val="0"/>
          <w:sz w:val="32"/>
          <w:szCs w:val="32"/>
          <w:highlight w:val="none"/>
        </w:rPr>
        <w:t>万元、维修（护）费</w:t>
      </w:r>
      <w:r>
        <w:rPr>
          <w:rFonts w:hint="eastAsia" w:ascii="仿宋_GB2312" w:eastAsia="仿宋_GB2312" w:cs="仿宋_GB2312"/>
          <w:bCs/>
          <w:color w:val="auto"/>
          <w:kern w:val="0"/>
          <w:sz w:val="32"/>
          <w:szCs w:val="32"/>
          <w:highlight w:val="none"/>
          <w:lang w:val="en-US" w:eastAsia="zh-CN"/>
        </w:rPr>
        <w:t>0.62</w:t>
      </w:r>
      <w:r>
        <w:rPr>
          <w:rFonts w:hint="eastAsia" w:ascii="仿宋_GB2312" w:eastAsia="仿宋_GB2312" w:cs="仿宋_GB2312"/>
          <w:bCs/>
          <w:color w:val="auto"/>
          <w:kern w:val="0"/>
          <w:sz w:val="32"/>
          <w:szCs w:val="32"/>
          <w:highlight w:val="none"/>
        </w:rPr>
        <w:t>万元、会议费</w:t>
      </w:r>
      <w:r>
        <w:rPr>
          <w:rFonts w:hint="eastAsia" w:ascii="仿宋_GB2312" w:eastAsia="仿宋_GB2312" w:cs="仿宋_GB2312"/>
          <w:bCs/>
          <w:color w:val="auto"/>
          <w:kern w:val="0"/>
          <w:sz w:val="32"/>
          <w:szCs w:val="32"/>
          <w:highlight w:val="none"/>
          <w:lang w:val="en-US" w:eastAsia="zh-CN"/>
        </w:rPr>
        <w:t>0.48</w:t>
      </w:r>
      <w:r>
        <w:rPr>
          <w:rFonts w:hint="eastAsia" w:ascii="仿宋_GB2312" w:eastAsia="仿宋_GB2312" w:cs="仿宋_GB2312"/>
          <w:bCs/>
          <w:color w:val="auto"/>
          <w:kern w:val="0"/>
          <w:sz w:val="32"/>
          <w:szCs w:val="32"/>
          <w:highlight w:val="none"/>
        </w:rPr>
        <w:t>万元、培训费</w:t>
      </w:r>
      <w:r>
        <w:rPr>
          <w:rFonts w:hint="eastAsia" w:ascii="仿宋_GB2312" w:eastAsia="仿宋_GB2312" w:cs="仿宋_GB2312"/>
          <w:bCs/>
          <w:color w:val="auto"/>
          <w:kern w:val="0"/>
          <w:sz w:val="32"/>
          <w:szCs w:val="32"/>
          <w:highlight w:val="none"/>
          <w:lang w:val="en-US" w:eastAsia="zh-CN"/>
        </w:rPr>
        <w:t>0.71</w:t>
      </w:r>
      <w:r>
        <w:rPr>
          <w:rFonts w:hint="eastAsia" w:ascii="仿宋_GB2312" w:eastAsia="仿宋_GB2312" w:cs="仿宋_GB2312"/>
          <w:bCs/>
          <w:color w:val="auto"/>
          <w:kern w:val="0"/>
          <w:sz w:val="32"/>
          <w:szCs w:val="32"/>
          <w:highlight w:val="none"/>
        </w:rPr>
        <w:t>万元、公务接待费</w:t>
      </w:r>
      <w:r>
        <w:rPr>
          <w:rFonts w:hint="eastAsia" w:ascii="仿宋_GB2312" w:eastAsia="仿宋_GB2312" w:cs="仿宋_GB2312"/>
          <w:bCs/>
          <w:color w:val="auto"/>
          <w:kern w:val="0"/>
          <w:sz w:val="32"/>
          <w:szCs w:val="32"/>
          <w:highlight w:val="none"/>
          <w:lang w:val="en-US" w:eastAsia="zh-CN"/>
        </w:rPr>
        <w:t>0.78</w:t>
      </w:r>
      <w:r>
        <w:rPr>
          <w:rFonts w:hint="eastAsia" w:ascii="仿宋_GB2312" w:eastAsia="仿宋_GB2312" w:cs="仿宋_GB2312"/>
          <w:bCs/>
          <w:color w:val="auto"/>
          <w:kern w:val="0"/>
          <w:sz w:val="32"/>
          <w:szCs w:val="32"/>
          <w:highlight w:val="none"/>
        </w:rPr>
        <w:t>万元、劳务费</w:t>
      </w:r>
      <w:r>
        <w:rPr>
          <w:rFonts w:hint="eastAsia" w:ascii="仿宋_GB2312" w:eastAsia="仿宋_GB2312" w:cs="仿宋_GB2312"/>
          <w:bCs/>
          <w:color w:val="auto"/>
          <w:kern w:val="0"/>
          <w:sz w:val="32"/>
          <w:szCs w:val="32"/>
          <w:highlight w:val="none"/>
          <w:lang w:val="en-US" w:eastAsia="zh-CN"/>
        </w:rPr>
        <w:t>0.21</w:t>
      </w:r>
      <w:r>
        <w:rPr>
          <w:rFonts w:hint="eastAsia" w:ascii="仿宋_GB2312" w:eastAsia="仿宋_GB2312" w:cs="仿宋_GB2312"/>
          <w:bCs/>
          <w:color w:val="auto"/>
          <w:kern w:val="0"/>
          <w:sz w:val="32"/>
          <w:szCs w:val="32"/>
          <w:highlight w:val="none"/>
        </w:rPr>
        <w:t>万元、工会经费</w:t>
      </w:r>
      <w:r>
        <w:rPr>
          <w:rFonts w:hint="eastAsia" w:ascii="仿宋_GB2312" w:eastAsia="仿宋_GB2312" w:cs="仿宋_GB2312"/>
          <w:bCs/>
          <w:color w:val="auto"/>
          <w:kern w:val="0"/>
          <w:sz w:val="32"/>
          <w:szCs w:val="32"/>
          <w:highlight w:val="none"/>
          <w:lang w:val="en-US" w:eastAsia="zh-CN"/>
        </w:rPr>
        <w:t>12.39</w:t>
      </w:r>
      <w:r>
        <w:rPr>
          <w:rFonts w:hint="eastAsia" w:ascii="仿宋_GB2312" w:eastAsia="仿宋_GB2312" w:cs="仿宋_GB2312"/>
          <w:bCs/>
          <w:color w:val="auto"/>
          <w:kern w:val="0"/>
          <w:sz w:val="32"/>
          <w:szCs w:val="32"/>
          <w:highlight w:val="none"/>
        </w:rPr>
        <w:t>万元、福利费</w:t>
      </w:r>
      <w:r>
        <w:rPr>
          <w:rFonts w:hint="eastAsia" w:ascii="仿宋_GB2312" w:eastAsia="仿宋_GB2312" w:cs="仿宋_GB2312"/>
          <w:bCs/>
          <w:color w:val="auto"/>
          <w:kern w:val="0"/>
          <w:sz w:val="32"/>
          <w:szCs w:val="32"/>
          <w:highlight w:val="none"/>
          <w:lang w:val="en-US" w:eastAsia="zh-CN"/>
        </w:rPr>
        <w:t>4.48</w:t>
      </w:r>
      <w:r>
        <w:rPr>
          <w:rFonts w:hint="eastAsia" w:ascii="仿宋_GB2312" w:eastAsia="仿宋_GB2312" w:cs="仿宋_GB2312"/>
          <w:bCs/>
          <w:color w:val="auto"/>
          <w:kern w:val="0"/>
          <w:sz w:val="32"/>
          <w:szCs w:val="32"/>
          <w:highlight w:val="none"/>
        </w:rPr>
        <w:t>万元、公务用车运行维护费</w:t>
      </w:r>
      <w:r>
        <w:rPr>
          <w:rFonts w:hint="eastAsia" w:ascii="仿宋_GB2312" w:eastAsia="仿宋_GB2312" w:cs="仿宋_GB2312"/>
          <w:bCs/>
          <w:color w:val="auto"/>
          <w:kern w:val="0"/>
          <w:sz w:val="32"/>
          <w:szCs w:val="32"/>
          <w:highlight w:val="none"/>
          <w:lang w:val="en-US" w:eastAsia="zh-CN"/>
        </w:rPr>
        <w:t>0.29</w:t>
      </w:r>
      <w:r>
        <w:rPr>
          <w:rFonts w:hint="eastAsia" w:ascii="仿宋_GB2312" w:eastAsia="仿宋_GB2312" w:cs="仿宋_GB2312"/>
          <w:bCs/>
          <w:color w:val="auto"/>
          <w:kern w:val="0"/>
          <w:sz w:val="32"/>
          <w:szCs w:val="32"/>
          <w:highlight w:val="none"/>
        </w:rPr>
        <w:t>万元、其他交通费用</w:t>
      </w:r>
      <w:r>
        <w:rPr>
          <w:rFonts w:hint="eastAsia" w:ascii="仿宋_GB2312" w:eastAsia="仿宋_GB2312" w:cs="仿宋_GB2312"/>
          <w:bCs/>
          <w:color w:val="auto"/>
          <w:kern w:val="0"/>
          <w:sz w:val="32"/>
          <w:szCs w:val="32"/>
          <w:highlight w:val="none"/>
          <w:lang w:val="en-US" w:eastAsia="zh-CN"/>
        </w:rPr>
        <w:t>42.77</w:t>
      </w:r>
      <w:r>
        <w:rPr>
          <w:rFonts w:hint="eastAsia" w:ascii="仿宋_GB2312" w:eastAsia="仿宋_GB2312" w:cs="仿宋_GB2312"/>
          <w:bCs/>
          <w:color w:val="auto"/>
          <w:kern w:val="0"/>
          <w:sz w:val="32"/>
          <w:szCs w:val="32"/>
          <w:highlight w:val="none"/>
        </w:rPr>
        <w:t>万元、其他商品和服务支出</w:t>
      </w:r>
      <w:r>
        <w:rPr>
          <w:rFonts w:hint="eastAsia" w:ascii="仿宋_GB2312" w:eastAsia="仿宋_GB2312" w:cs="仿宋_GB2312"/>
          <w:bCs/>
          <w:color w:val="auto"/>
          <w:kern w:val="0"/>
          <w:sz w:val="32"/>
          <w:szCs w:val="32"/>
          <w:highlight w:val="none"/>
          <w:lang w:val="en-US" w:eastAsia="zh-CN"/>
        </w:rPr>
        <w:t>30.09</w:t>
      </w:r>
      <w:r>
        <w:rPr>
          <w:rFonts w:hint="eastAsia" w:ascii="仿宋_GB2312" w:eastAsia="仿宋_GB2312" w:cs="仿宋_GB2312"/>
          <w:bCs/>
          <w:color w:val="auto"/>
          <w:kern w:val="0"/>
          <w:sz w:val="32"/>
          <w:szCs w:val="32"/>
          <w:highlight w:val="none"/>
        </w:rPr>
        <w:t>万元、办公设备购置</w:t>
      </w:r>
      <w:r>
        <w:rPr>
          <w:rFonts w:hint="eastAsia" w:ascii="仿宋_GB2312" w:eastAsia="仿宋_GB2312" w:cs="仿宋_GB2312"/>
          <w:bCs/>
          <w:color w:val="auto"/>
          <w:kern w:val="0"/>
          <w:sz w:val="32"/>
          <w:szCs w:val="32"/>
          <w:highlight w:val="none"/>
          <w:lang w:val="en-US" w:eastAsia="zh-CN"/>
        </w:rPr>
        <w:t>1.06</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w:t>
      </w:r>
    </w:p>
    <w:p w14:paraId="663F02EB">
      <w:pPr>
        <w:autoSpaceDE w:val="0"/>
        <w:autoSpaceDN w:val="0"/>
        <w:adjustRightInd w:val="0"/>
        <w:spacing w:line="580" w:lineRule="exact"/>
        <w:ind w:firstLine="643"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
          <w:bCs w:val="0"/>
          <w:color w:val="auto"/>
          <w:kern w:val="0"/>
          <w:sz w:val="32"/>
          <w:szCs w:val="32"/>
          <w:highlight w:val="none"/>
        </w:rPr>
        <w:t>七、</w:t>
      </w:r>
      <w:r>
        <w:rPr>
          <w:rFonts w:hint="eastAsia" w:ascii="仿宋_GB2312" w:eastAsia="仿宋_GB2312" w:cs="仿宋_GB2312"/>
          <w:b/>
          <w:color w:val="auto"/>
          <w:kern w:val="0"/>
          <w:sz w:val="32"/>
          <w:szCs w:val="32"/>
          <w:highlight w:val="none"/>
        </w:rPr>
        <w:t>2020年度一般公共预算财政拨款“三公” 经费支出决算情况</w:t>
      </w:r>
      <w:r>
        <w:rPr>
          <w:rFonts w:hint="eastAsia" w:ascii="仿宋_GB2312" w:eastAsia="仿宋_GB2312" w:cs="仿宋_GB2312"/>
          <w:bCs/>
          <w:color w:val="auto"/>
          <w:kern w:val="0"/>
          <w:sz w:val="32"/>
          <w:szCs w:val="32"/>
          <w:highlight w:val="none"/>
        </w:rPr>
        <w:t xml:space="preserve"> </w:t>
      </w:r>
    </w:p>
    <w:p w14:paraId="53183B4B">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（一）“三公”经费财政拨款支出决算总体情况 </w:t>
      </w:r>
    </w:p>
    <w:p w14:paraId="61352DF1">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2020年度“三公”经费财政拨款支出预算为</w:t>
      </w:r>
      <w:r>
        <w:rPr>
          <w:rFonts w:hint="eastAsia" w:ascii="仿宋_GB2312" w:eastAsia="仿宋_GB2312" w:cs="仿宋_GB2312"/>
          <w:bCs/>
          <w:color w:val="auto"/>
          <w:kern w:val="0"/>
          <w:sz w:val="32"/>
          <w:szCs w:val="32"/>
          <w:highlight w:val="none"/>
          <w:lang w:val="en-US" w:eastAsia="zh-CN"/>
        </w:rPr>
        <w:t>4.01</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1.07</w:t>
      </w:r>
      <w:r>
        <w:rPr>
          <w:rFonts w:hint="eastAsia" w:ascii="仿宋_GB2312" w:eastAsia="仿宋_GB2312" w:cs="仿宋_GB2312"/>
          <w:bCs/>
          <w:color w:val="auto"/>
          <w:kern w:val="0"/>
          <w:sz w:val="32"/>
          <w:szCs w:val="32"/>
          <w:highlight w:val="none"/>
        </w:rPr>
        <w:t>万元，完成预算的</w:t>
      </w:r>
      <w:r>
        <w:rPr>
          <w:rFonts w:hint="eastAsia" w:ascii="仿宋_GB2312" w:eastAsia="仿宋_GB2312" w:cs="仿宋_GB2312"/>
          <w:bCs/>
          <w:color w:val="auto"/>
          <w:kern w:val="0"/>
          <w:sz w:val="32"/>
          <w:szCs w:val="32"/>
          <w:highlight w:val="none"/>
          <w:lang w:val="en-US" w:eastAsia="zh-CN"/>
        </w:rPr>
        <w:t>26.68</w:t>
      </w:r>
      <w:r>
        <w:rPr>
          <w:rFonts w:hint="eastAsia" w:ascii="仿宋_GB2312" w:eastAsia="仿宋_GB2312" w:cs="仿宋_GB2312"/>
          <w:bCs/>
          <w:color w:val="auto"/>
          <w:kern w:val="0"/>
          <w:sz w:val="32"/>
          <w:szCs w:val="32"/>
          <w:highlight w:val="none"/>
        </w:rPr>
        <w:t>%，其中：因公出国（境）费支出决算为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万元，因公出国（境）费支出</w:t>
      </w:r>
      <w:r>
        <w:rPr>
          <w:rFonts w:hint="eastAsia" w:ascii="仿宋_GB2312" w:eastAsia="仿宋_GB2312" w:cs="仿宋_GB2312"/>
          <w:bCs/>
          <w:color w:val="auto"/>
          <w:kern w:val="0"/>
          <w:sz w:val="32"/>
          <w:szCs w:val="32"/>
          <w:highlight w:val="none"/>
          <w:lang w:eastAsia="zh-CN"/>
        </w:rPr>
        <w:t>无</w:t>
      </w:r>
      <w:r>
        <w:rPr>
          <w:rFonts w:hint="eastAsia" w:ascii="仿宋_GB2312" w:eastAsia="仿宋_GB2312" w:cs="仿宋_GB2312"/>
          <w:bCs/>
          <w:color w:val="auto"/>
          <w:kern w:val="0"/>
          <w:sz w:val="32"/>
          <w:szCs w:val="32"/>
          <w:highlight w:val="none"/>
        </w:rPr>
        <w:t>预算；公务用车购置及运行费支出决算为</w:t>
      </w:r>
      <w:r>
        <w:rPr>
          <w:rFonts w:hint="eastAsia" w:ascii="仿宋_GB2312" w:eastAsia="仿宋_GB2312" w:cs="仿宋_GB2312"/>
          <w:bCs/>
          <w:color w:val="auto"/>
          <w:kern w:val="0"/>
          <w:sz w:val="32"/>
          <w:szCs w:val="32"/>
          <w:highlight w:val="none"/>
          <w:lang w:val="en-US" w:eastAsia="zh-CN"/>
        </w:rPr>
        <w:t>0.29</w:t>
      </w:r>
      <w:r>
        <w:rPr>
          <w:rFonts w:hint="eastAsia" w:ascii="仿宋_GB2312" w:eastAsia="仿宋_GB2312" w:cs="仿宋_GB2312"/>
          <w:bCs/>
          <w:color w:val="auto"/>
          <w:kern w:val="0"/>
          <w:sz w:val="32"/>
          <w:szCs w:val="32"/>
          <w:highlight w:val="none"/>
        </w:rPr>
        <w:t>万元，完成预算的</w:t>
      </w:r>
      <w:r>
        <w:rPr>
          <w:rFonts w:hint="eastAsia" w:ascii="仿宋_GB2312" w:eastAsia="仿宋_GB2312" w:cs="仿宋_GB2312"/>
          <w:bCs/>
          <w:color w:val="auto"/>
          <w:kern w:val="0"/>
          <w:sz w:val="32"/>
          <w:szCs w:val="32"/>
          <w:highlight w:val="none"/>
          <w:lang w:val="en-US" w:eastAsia="zh-CN"/>
        </w:rPr>
        <w:t>14.50</w:t>
      </w:r>
      <w:r>
        <w:rPr>
          <w:rFonts w:hint="eastAsia" w:ascii="仿宋_GB2312" w:eastAsia="仿宋_GB2312" w:cs="仿宋_GB2312"/>
          <w:bCs/>
          <w:color w:val="auto"/>
          <w:kern w:val="0"/>
          <w:sz w:val="32"/>
          <w:szCs w:val="32"/>
          <w:highlight w:val="none"/>
        </w:rPr>
        <w:t>%；公务接待费支出决算为</w:t>
      </w:r>
      <w:r>
        <w:rPr>
          <w:rFonts w:hint="eastAsia" w:ascii="仿宋_GB2312" w:eastAsia="仿宋_GB2312" w:cs="仿宋_GB2312"/>
          <w:bCs/>
          <w:color w:val="auto"/>
          <w:kern w:val="0"/>
          <w:sz w:val="32"/>
          <w:szCs w:val="32"/>
          <w:highlight w:val="none"/>
          <w:lang w:val="en-US" w:eastAsia="zh-CN"/>
        </w:rPr>
        <w:t>0.78</w:t>
      </w:r>
      <w:r>
        <w:rPr>
          <w:rFonts w:hint="eastAsia" w:ascii="仿宋_GB2312" w:eastAsia="仿宋_GB2312" w:cs="仿宋_GB2312"/>
          <w:bCs/>
          <w:color w:val="auto"/>
          <w:kern w:val="0"/>
          <w:sz w:val="32"/>
          <w:szCs w:val="32"/>
          <w:highlight w:val="none"/>
        </w:rPr>
        <w:t>万元，完成预算的</w:t>
      </w:r>
      <w:r>
        <w:rPr>
          <w:rFonts w:hint="eastAsia" w:ascii="仿宋_GB2312" w:eastAsia="仿宋_GB2312" w:cs="仿宋_GB2312"/>
          <w:bCs/>
          <w:color w:val="auto"/>
          <w:kern w:val="0"/>
          <w:sz w:val="32"/>
          <w:szCs w:val="32"/>
          <w:highlight w:val="none"/>
          <w:lang w:val="en-US" w:eastAsia="zh-CN"/>
        </w:rPr>
        <w:t>38.81</w:t>
      </w:r>
      <w:r>
        <w:rPr>
          <w:rFonts w:hint="eastAsia" w:ascii="仿宋_GB2312" w:eastAsia="仿宋_GB2312" w:cs="仿宋_GB2312"/>
          <w:bCs/>
          <w:color w:val="auto"/>
          <w:kern w:val="0"/>
          <w:sz w:val="32"/>
          <w:szCs w:val="32"/>
          <w:highlight w:val="none"/>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color w:val="auto"/>
          <w:kern w:val="0"/>
          <w:sz w:val="32"/>
          <w:szCs w:val="32"/>
          <w:highlight w:val="none"/>
          <w:lang w:eastAsia="zh-CN"/>
        </w:rPr>
        <w:t>。</w:t>
      </w:r>
    </w:p>
    <w:p w14:paraId="52B582DD">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2020年度“三公”经费财政拨款支出决算数比2019年减少</w:t>
      </w:r>
      <w:r>
        <w:rPr>
          <w:rFonts w:hint="eastAsia" w:ascii="仿宋_GB2312" w:eastAsia="仿宋_GB2312" w:cs="仿宋_GB2312"/>
          <w:bCs/>
          <w:color w:val="auto"/>
          <w:kern w:val="0"/>
          <w:sz w:val="32"/>
          <w:szCs w:val="32"/>
          <w:highlight w:val="none"/>
          <w:lang w:val="en-US" w:eastAsia="zh-CN"/>
        </w:rPr>
        <w:t>0.64</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37.43</w:t>
      </w:r>
      <w:r>
        <w:rPr>
          <w:rFonts w:hint="eastAsia" w:ascii="仿宋_GB2312" w:eastAsia="仿宋_GB2312" w:cs="仿宋_GB2312"/>
          <w:bCs/>
          <w:color w:val="auto"/>
          <w:kern w:val="0"/>
          <w:sz w:val="32"/>
          <w:szCs w:val="32"/>
          <w:highlight w:val="none"/>
        </w:rPr>
        <w:t>%，其中：因公出国（境）费支出决 算减少</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%；公务用车</w:t>
      </w:r>
      <w:bookmarkStart w:id="0" w:name="_GoBack"/>
      <w:bookmarkEnd w:id="0"/>
      <w:r>
        <w:rPr>
          <w:rFonts w:hint="eastAsia" w:ascii="仿宋_GB2312" w:eastAsia="仿宋_GB2312" w:cs="仿宋_GB2312"/>
          <w:bCs/>
          <w:color w:val="auto"/>
          <w:kern w:val="0"/>
          <w:sz w:val="32"/>
          <w:szCs w:val="32"/>
          <w:highlight w:val="none"/>
        </w:rPr>
        <w:t>购置及运行费支出决算减少</w:t>
      </w:r>
      <w:r>
        <w:rPr>
          <w:rFonts w:hint="eastAsia" w:ascii="仿宋_GB2312" w:eastAsia="仿宋_GB2312" w:cs="仿宋_GB2312"/>
          <w:bCs/>
          <w:color w:val="auto"/>
          <w:kern w:val="0"/>
          <w:sz w:val="32"/>
          <w:szCs w:val="32"/>
          <w:highlight w:val="none"/>
          <w:lang w:val="en-US" w:eastAsia="zh-CN"/>
        </w:rPr>
        <w:t>0.37</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56.06</w:t>
      </w:r>
      <w:r>
        <w:rPr>
          <w:rFonts w:hint="eastAsia" w:ascii="仿宋_GB2312" w:eastAsia="仿宋_GB2312" w:cs="仿宋_GB2312"/>
          <w:bCs/>
          <w:color w:val="auto"/>
          <w:kern w:val="0"/>
          <w:sz w:val="32"/>
          <w:szCs w:val="32"/>
          <w:highlight w:val="none"/>
        </w:rPr>
        <w:t>%；公务接待费支出决算减少</w:t>
      </w:r>
      <w:r>
        <w:rPr>
          <w:rFonts w:hint="eastAsia" w:ascii="仿宋_GB2312" w:eastAsia="仿宋_GB2312" w:cs="仿宋_GB2312"/>
          <w:bCs/>
          <w:color w:val="auto"/>
          <w:kern w:val="0"/>
          <w:sz w:val="32"/>
          <w:szCs w:val="32"/>
          <w:highlight w:val="none"/>
          <w:lang w:val="en-US" w:eastAsia="zh-CN"/>
        </w:rPr>
        <w:t>0.28</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26.42</w:t>
      </w:r>
      <w:r>
        <w:rPr>
          <w:rFonts w:hint="eastAsia" w:ascii="仿宋_GB2312" w:eastAsia="仿宋_GB2312" w:cs="仿宋_GB2312"/>
          <w:bCs/>
          <w:color w:val="auto"/>
          <w:kern w:val="0"/>
          <w:sz w:val="32"/>
          <w:szCs w:val="32"/>
          <w:highlight w:val="none"/>
        </w:rPr>
        <w:t>%。</w:t>
      </w:r>
    </w:p>
    <w:p w14:paraId="4F48F2D6">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因公出国（境）费支出</w:t>
      </w:r>
      <w:r>
        <w:rPr>
          <w:rFonts w:hint="eastAsia" w:ascii="仿宋_GB2312" w:eastAsia="仿宋_GB2312" w:cs="仿宋_GB2312"/>
          <w:bCs/>
          <w:color w:val="auto"/>
          <w:kern w:val="0"/>
          <w:sz w:val="32"/>
          <w:szCs w:val="32"/>
          <w:highlight w:val="none"/>
          <w:lang w:eastAsia="zh-CN"/>
        </w:rPr>
        <w:t>持平</w:t>
      </w:r>
      <w:r>
        <w:rPr>
          <w:rFonts w:hint="eastAsia" w:ascii="仿宋_GB2312" w:eastAsia="仿宋_GB2312" w:cs="仿宋_GB2312"/>
          <w:bCs/>
          <w:color w:val="auto"/>
          <w:kern w:val="0"/>
          <w:sz w:val="32"/>
          <w:szCs w:val="32"/>
          <w:highlight w:val="none"/>
        </w:rPr>
        <w:t>；公务用车购置及运行费支出减少的主要原因是</w:t>
      </w:r>
      <w:r>
        <w:rPr>
          <w:rFonts w:hint="eastAsia" w:ascii="仿宋_GB2312" w:eastAsia="仿宋_GB2312" w:cs="仿宋_GB2312"/>
          <w:bCs/>
          <w:color w:val="auto"/>
          <w:kern w:val="0"/>
          <w:sz w:val="32"/>
          <w:szCs w:val="32"/>
          <w:highlight w:val="none"/>
          <w:lang w:eastAsia="zh-CN"/>
        </w:rPr>
        <w:t>车辆维修费用较上年减少</w:t>
      </w:r>
      <w:r>
        <w:rPr>
          <w:rFonts w:hint="eastAsia" w:ascii="仿宋_GB2312" w:eastAsia="仿宋_GB2312" w:cs="仿宋_GB2312"/>
          <w:bCs/>
          <w:color w:val="auto"/>
          <w:kern w:val="0"/>
          <w:sz w:val="32"/>
          <w:szCs w:val="32"/>
          <w:highlight w:val="none"/>
        </w:rPr>
        <w:t>；公务接待费支出减少的主要原因是认真贯彻落实中央八项规定精神和厉行节约要求，进一步从严控制“三公”经费开支，</w:t>
      </w:r>
      <w:r>
        <w:rPr>
          <w:rFonts w:hint="eastAsia" w:ascii="仿宋_GB2312" w:eastAsia="仿宋_GB2312" w:cs="仿宋_GB2312"/>
          <w:bCs/>
          <w:color w:val="auto"/>
          <w:kern w:val="0"/>
          <w:sz w:val="32"/>
          <w:szCs w:val="32"/>
          <w:highlight w:val="none"/>
          <w:lang w:eastAsia="zh-CN"/>
        </w:rPr>
        <w:t>且</w:t>
      </w:r>
      <w:r>
        <w:rPr>
          <w:rFonts w:hint="eastAsia" w:ascii="仿宋_GB2312" w:eastAsia="仿宋_GB2312" w:cs="仿宋_GB2312"/>
          <w:bCs/>
          <w:color w:val="auto"/>
          <w:kern w:val="0"/>
          <w:sz w:val="32"/>
          <w:szCs w:val="32"/>
          <w:highlight w:val="none"/>
        </w:rPr>
        <w:t>2020年接待国内来访团组</w:t>
      </w:r>
      <w:r>
        <w:rPr>
          <w:rFonts w:hint="eastAsia" w:ascii="仿宋_GB2312" w:eastAsia="仿宋_GB2312" w:cs="仿宋_GB2312"/>
          <w:bCs/>
          <w:color w:val="auto"/>
          <w:kern w:val="0"/>
          <w:sz w:val="32"/>
          <w:szCs w:val="32"/>
          <w:highlight w:val="none"/>
          <w:lang w:val="en-US" w:eastAsia="zh-CN"/>
        </w:rPr>
        <w:t>和</w:t>
      </w:r>
      <w:r>
        <w:rPr>
          <w:rFonts w:hint="eastAsia" w:ascii="仿宋_GB2312" w:eastAsia="仿宋_GB2312" w:cs="仿宋_GB2312"/>
          <w:bCs/>
          <w:color w:val="auto"/>
          <w:kern w:val="0"/>
          <w:sz w:val="32"/>
          <w:szCs w:val="32"/>
          <w:highlight w:val="none"/>
        </w:rPr>
        <w:t>来宾人次</w:t>
      </w:r>
      <w:r>
        <w:rPr>
          <w:rFonts w:hint="eastAsia" w:ascii="仿宋_GB2312" w:eastAsia="仿宋_GB2312" w:cs="仿宋_GB2312"/>
          <w:bCs/>
          <w:color w:val="auto"/>
          <w:kern w:val="0"/>
          <w:sz w:val="32"/>
          <w:szCs w:val="32"/>
          <w:highlight w:val="none"/>
          <w:lang w:eastAsia="zh-CN"/>
        </w:rPr>
        <w:t>较上年减少，</w:t>
      </w:r>
      <w:r>
        <w:rPr>
          <w:rFonts w:hint="eastAsia" w:ascii="仿宋_GB2312" w:eastAsia="仿宋_GB2312" w:cs="仿宋_GB2312"/>
          <w:bCs/>
          <w:color w:val="auto"/>
          <w:kern w:val="0"/>
          <w:sz w:val="32"/>
          <w:szCs w:val="32"/>
          <w:highlight w:val="none"/>
        </w:rPr>
        <w:t>支出</w:t>
      </w:r>
      <w:r>
        <w:rPr>
          <w:rFonts w:hint="eastAsia" w:ascii="仿宋_GB2312" w:eastAsia="仿宋_GB2312" w:cs="仿宋_GB2312"/>
          <w:bCs/>
          <w:color w:val="auto"/>
          <w:kern w:val="0"/>
          <w:sz w:val="32"/>
          <w:szCs w:val="32"/>
          <w:highlight w:val="none"/>
          <w:lang w:eastAsia="zh-CN"/>
        </w:rPr>
        <w:t>相应减少</w:t>
      </w:r>
      <w:r>
        <w:rPr>
          <w:rFonts w:hint="eastAsia" w:ascii="仿宋_GB2312" w:eastAsia="仿宋_GB2312" w:cs="仿宋_GB2312"/>
          <w:bCs/>
          <w:color w:val="auto"/>
          <w:kern w:val="0"/>
          <w:sz w:val="32"/>
          <w:szCs w:val="32"/>
          <w:highlight w:val="none"/>
        </w:rPr>
        <w:t>。</w:t>
      </w:r>
    </w:p>
    <w:p w14:paraId="69E0FD1F">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（二）“三公”经费财政拨款支出决算具体情况</w:t>
      </w:r>
    </w:p>
    <w:p w14:paraId="34992E2B">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2020年度“三公”经费财政拨款支出决算中，因公出国（境）费支出决算</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%；公务用车购置及运行费支出决算</w:t>
      </w:r>
      <w:r>
        <w:rPr>
          <w:rFonts w:hint="eastAsia" w:ascii="仿宋_GB2312" w:eastAsia="仿宋_GB2312" w:cs="仿宋_GB2312"/>
          <w:bCs/>
          <w:color w:val="auto"/>
          <w:kern w:val="0"/>
          <w:sz w:val="32"/>
          <w:szCs w:val="32"/>
          <w:highlight w:val="none"/>
          <w:lang w:val="en-US" w:eastAsia="zh-CN"/>
        </w:rPr>
        <w:t>0.29</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27.10</w:t>
      </w:r>
      <w:r>
        <w:rPr>
          <w:rFonts w:hint="eastAsia" w:ascii="仿宋_GB2312" w:eastAsia="仿宋_GB2312" w:cs="仿宋_GB2312"/>
          <w:bCs/>
          <w:color w:val="auto"/>
          <w:kern w:val="0"/>
          <w:sz w:val="32"/>
          <w:szCs w:val="32"/>
          <w:highlight w:val="none"/>
        </w:rPr>
        <w:t>%；公务接待费支出决算</w:t>
      </w:r>
      <w:r>
        <w:rPr>
          <w:rFonts w:hint="eastAsia" w:ascii="仿宋_GB2312" w:eastAsia="仿宋_GB2312" w:cs="仿宋_GB2312"/>
          <w:bCs/>
          <w:color w:val="auto"/>
          <w:kern w:val="0"/>
          <w:sz w:val="32"/>
          <w:szCs w:val="32"/>
          <w:highlight w:val="none"/>
          <w:lang w:val="en-US" w:eastAsia="zh-CN"/>
        </w:rPr>
        <w:t>0.78</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72.90</w:t>
      </w:r>
      <w:r>
        <w:rPr>
          <w:rFonts w:hint="eastAsia" w:ascii="仿宋_GB2312" w:eastAsia="仿宋_GB2312" w:cs="仿宋_GB2312"/>
          <w:bCs/>
          <w:color w:val="auto"/>
          <w:kern w:val="0"/>
          <w:sz w:val="32"/>
          <w:szCs w:val="32"/>
          <w:highlight w:val="none"/>
        </w:rPr>
        <w:t xml:space="preserve">%。具体情况如下：  </w:t>
      </w:r>
    </w:p>
    <w:p w14:paraId="696717A5">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1.因公出国（境）费支出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万元。全年安排机关和所属单位因公出国（境）团组</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个，累计</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 xml:space="preserve">人次。 </w:t>
      </w:r>
    </w:p>
    <w:p w14:paraId="4C6E9B7D">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2.公务用车购置及运行费支出</w:t>
      </w:r>
      <w:r>
        <w:rPr>
          <w:rFonts w:hint="eastAsia" w:ascii="仿宋_GB2312" w:eastAsia="仿宋_GB2312" w:cs="仿宋_GB2312"/>
          <w:bCs/>
          <w:color w:val="auto"/>
          <w:kern w:val="0"/>
          <w:sz w:val="32"/>
          <w:szCs w:val="32"/>
          <w:highlight w:val="none"/>
          <w:lang w:val="en-US" w:eastAsia="zh-CN"/>
        </w:rPr>
        <w:t>0.29</w:t>
      </w:r>
      <w:r>
        <w:rPr>
          <w:rFonts w:hint="eastAsia" w:ascii="仿宋_GB2312" w:eastAsia="仿宋_GB2312" w:cs="仿宋_GB2312"/>
          <w:bCs/>
          <w:color w:val="auto"/>
          <w:kern w:val="0"/>
          <w:sz w:val="32"/>
          <w:szCs w:val="32"/>
          <w:highlight w:val="none"/>
        </w:rPr>
        <w:t>万元。其中：公务用车购置支出为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万元。公务用车运行支出</w:t>
      </w:r>
      <w:r>
        <w:rPr>
          <w:rFonts w:hint="eastAsia" w:ascii="仿宋_GB2312" w:eastAsia="仿宋_GB2312" w:cs="仿宋_GB2312"/>
          <w:bCs/>
          <w:color w:val="auto"/>
          <w:kern w:val="0"/>
          <w:sz w:val="32"/>
          <w:szCs w:val="32"/>
          <w:highlight w:val="none"/>
          <w:lang w:val="en-US" w:eastAsia="zh-CN"/>
        </w:rPr>
        <w:t>0.29</w:t>
      </w:r>
      <w:r>
        <w:rPr>
          <w:rFonts w:hint="eastAsia" w:ascii="仿宋_GB2312" w:eastAsia="仿宋_GB2312" w:cs="仿宋_GB2312"/>
          <w:bCs/>
          <w:color w:val="auto"/>
          <w:kern w:val="0"/>
          <w:sz w:val="32"/>
          <w:szCs w:val="32"/>
          <w:highlight w:val="none"/>
        </w:rPr>
        <w:t>万元。主要用于</w:t>
      </w:r>
      <w:r>
        <w:rPr>
          <w:rFonts w:hint="eastAsia" w:ascii="仿宋_GB2312" w:eastAsia="仿宋_GB2312" w:cs="仿宋_GB2312"/>
          <w:bCs/>
          <w:color w:val="auto"/>
          <w:kern w:val="0"/>
          <w:sz w:val="32"/>
          <w:szCs w:val="32"/>
          <w:highlight w:val="none"/>
          <w:lang w:eastAsia="zh-CN"/>
        </w:rPr>
        <w:t>车辆保险、车辆年检和维修保养</w:t>
      </w:r>
      <w:r>
        <w:rPr>
          <w:rFonts w:hint="eastAsia" w:ascii="仿宋_GB2312" w:eastAsia="仿宋_GB2312" w:cs="仿宋_GB2312"/>
          <w:bCs/>
          <w:color w:val="auto"/>
          <w:kern w:val="0"/>
          <w:sz w:val="32"/>
          <w:szCs w:val="32"/>
          <w:highlight w:val="none"/>
        </w:rPr>
        <w:t>。2020年，机关所属单位开支财政拨款的公务用车保有量为</w:t>
      </w:r>
      <w:r>
        <w:rPr>
          <w:rFonts w:hint="eastAsia" w:ascii="仿宋_GB2312" w:eastAsia="仿宋_GB2312" w:cs="仿宋_GB2312"/>
          <w:bCs/>
          <w:color w:val="auto"/>
          <w:kern w:val="0"/>
          <w:sz w:val="32"/>
          <w:szCs w:val="32"/>
          <w:highlight w:val="none"/>
          <w:lang w:val="en-US" w:eastAsia="zh-CN"/>
        </w:rPr>
        <w:t>1</w:t>
      </w:r>
      <w:r>
        <w:rPr>
          <w:rFonts w:hint="eastAsia" w:ascii="仿宋_GB2312" w:eastAsia="仿宋_GB2312" w:cs="仿宋_GB2312"/>
          <w:bCs/>
          <w:color w:val="auto"/>
          <w:kern w:val="0"/>
          <w:sz w:val="32"/>
          <w:szCs w:val="32"/>
          <w:highlight w:val="none"/>
        </w:rPr>
        <w:t>辆。</w:t>
      </w:r>
    </w:p>
    <w:p w14:paraId="20E70271">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3.公务接待费支出</w:t>
      </w:r>
      <w:r>
        <w:rPr>
          <w:rFonts w:hint="eastAsia" w:ascii="仿宋_GB2312" w:eastAsia="仿宋_GB2312" w:cs="仿宋_GB2312"/>
          <w:bCs/>
          <w:color w:val="auto"/>
          <w:kern w:val="0"/>
          <w:sz w:val="32"/>
          <w:szCs w:val="32"/>
          <w:highlight w:val="none"/>
          <w:lang w:val="en-US" w:eastAsia="zh-CN"/>
        </w:rPr>
        <w:t>0.78</w:t>
      </w:r>
      <w:r>
        <w:rPr>
          <w:rFonts w:hint="eastAsia" w:ascii="仿宋_GB2312" w:eastAsia="仿宋_GB2312" w:cs="仿宋_GB2312"/>
          <w:bCs/>
          <w:color w:val="auto"/>
          <w:kern w:val="0"/>
          <w:sz w:val="32"/>
          <w:szCs w:val="32"/>
          <w:highlight w:val="none"/>
        </w:rPr>
        <w:t>万元。其中：</w:t>
      </w:r>
    </w:p>
    <w:p w14:paraId="1919BA21">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外宾接待支出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万元。2020年共接待国（境）外来访团组</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个、来访外宾</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人次。</w:t>
      </w:r>
    </w:p>
    <w:p w14:paraId="7785298A">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 xml:space="preserve">    国内公务接待支出</w:t>
      </w:r>
      <w:r>
        <w:rPr>
          <w:rFonts w:hint="eastAsia" w:ascii="仿宋_GB2312" w:eastAsia="仿宋_GB2312" w:cs="仿宋_GB2312"/>
          <w:bCs/>
          <w:color w:val="auto"/>
          <w:kern w:val="0"/>
          <w:sz w:val="32"/>
          <w:szCs w:val="32"/>
          <w:highlight w:val="none"/>
          <w:lang w:val="en-US" w:eastAsia="zh-CN"/>
        </w:rPr>
        <w:t>0.78</w:t>
      </w:r>
      <w:r>
        <w:rPr>
          <w:rFonts w:hint="eastAsia" w:ascii="仿宋_GB2312" w:eastAsia="仿宋_GB2312" w:cs="仿宋_GB2312"/>
          <w:bCs/>
          <w:color w:val="auto"/>
          <w:kern w:val="0"/>
          <w:sz w:val="32"/>
          <w:szCs w:val="32"/>
          <w:highlight w:val="none"/>
        </w:rPr>
        <w:t>万元。主要用于</w:t>
      </w:r>
      <w:r>
        <w:rPr>
          <w:rFonts w:hint="eastAsia" w:ascii="仿宋_GB2312" w:eastAsia="仿宋_GB2312" w:cs="仿宋_GB2312"/>
          <w:bCs/>
          <w:color w:val="auto"/>
          <w:kern w:val="0"/>
          <w:sz w:val="32"/>
          <w:szCs w:val="32"/>
          <w:highlight w:val="none"/>
          <w:lang w:eastAsia="zh-CN"/>
        </w:rPr>
        <w:t>自治区信访工作小组、其他地市国资委考察交流学习等</w:t>
      </w:r>
      <w:r>
        <w:rPr>
          <w:rFonts w:hint="eastAsia" w:ascii="仿宋_GB2312" w:eastAsia="仿宋_GB2312" w:cs="仿宋_GB2312"/>
          <w:bCs/>
          <w:color w:val="auto"/>
          <w:kern w:val="0"/>
          <w:sz w:val="32"/>
          <w:szCs w:val="32"/>
          <w:highlight w:val="none"/>
        </w:rPr>
        <w:t>。2020年共接待国内来访团组</w:t>
      </w:r>
      <w:r>
        <w:rPr>
          <w:rFonts w:hint="eastAsia" w:ascii="仿宋_GB2312" w:eastAsia="仿宋_GB2312" w:cs="仿宋_GB2312"/>
          <w:bCs/>
          <w:color w:val="auto"/>
          <w:kern w:val="0"/>
          <w:sz w:val="32"/>
          <w:szCs w:val="32"/>
          <w:highlight w:val="none"/>
          <w:lang w:val="en-US" w:eastAsia="zh-CN"/>
        </w:rPr>
        <w:t>7</w:t>
      </w:r>
      <w:r>
        <w:rPr>
          <w:rFonts w:hint="eastAsia" w:ascii="仿宋_GB2312" w:eastAsia="仿宋_GB2312" w:cs="仿宋_GB2312"/>
          <w:bCs/>
          <w:color w:val="auto"/>
          <w:kern w:val="0"/>
          <w:sz w:val="32"/>
          <w:szCs w:val="32"/>
          <w:highlight w:val="none"/>
        </w:rPr>
        <w:t>个、来宾</w:t>
      </w:r>
      <w:r>
        <w:rPr>
          <w:rFonts w:hint="eastAsia" w:ascii="仿宋_GB2312" w:eastAsia="仿宋_GB2312" w:cs="仿宋_GB2312"/>
          <w:bCs/>
          <w:color w:val="auto"/>
          <w:kern w:val="0"/>
          <w:sz w:val="32"/>
          <w:szCs w:val="32"/>
          <w:highlight w:val="none"/>
          <w:lang w:val="en-US" w:eastAsia="zh-CN"/>
        </w:rPr>
        <w:t>45</w:t>
      </w:r>
      <w:r>
        <w:rPr>
          <w:rFonts w:hint="eastAsia" w:ascii="仿宋_GB2312" w:eastAsia="仿宋_GB2312" w:cs="仿宋_GB2312"/>
          <w:bCs/>
          <w:color w:val="auto"/>
          <w:kern w:val="0"/>
          <w:sz w:val="32"/>
          <w:szCs w:val="32"/>
          <w:highlight w:val="none"/>
        </w:rPr>
        <w:t>人次</w:t>
      </w:r>
      <w:r>
        <w:rPr>
          <w:rFonts w:hint="eastAsia" w:ascii="仿宋_GB2312" w:eastAsia="仿宋_GB2312" w:cs="仿宋_GB2312"/>
          <w:bCs/>
          <w:color w:val="auto"/>
          <w:kern w:val="0"/>
          <w:sz w:val="32"/>
          <w:szCs w:val="32"/>
          <w:highlight w:val="none"/>
          <w:lang w:eastAsia="zh-CN"/>
        </w:rPr>
        <w:t>。</w:t>
      </w:r>
    </w:p>
    <w:p w14:paraId="164DD5D3">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lang w:val="en-US" w:eastAsia="zh-CN"/>
        </w:rPr>
        <w:t xml:space="preserve"> </w:t>
      </w:r>
      <w:r>
        <w:rPr>
          <w:rFonts w:hint="eastAsia" w:ascii="仿宋_GB2312" w:eastAsia="仿宋_GB2312" w:cs="仿宋_GB2312"/>
          <w:b/>
          <w:bCs w:val="0"/>
          <w:color w:val="auto"/>
          <w:kern w:val="0"/>
          <w:sz w:val="32"/>
          <w:szCs w:val="32"/>
          <w:highlight w:val="none"/>
        </w:rPr>
        <w:t>八、</w:t>
      </w:r>
      <w:r>
        <w:rPr>
          <w:rFonts w:hint="eastAsia" w:ascii="仿宋_GB2312" w:eastAsia="仿宋_GB2312" w:cs="仿宋_GB2312"/>
          <w:b/>
          <w:color w:val="auto"/>
          <w:kern w:val="0"/>
          <w:sz w:val="32"/>
          <w:szCs w:val="32"/>
          <w:highlight w:val="none"/>
        </w:rPr>
        <w:t>2020年度政府性基金预算财政拨款收入支出决算情况说明</w:t>
      </w:r>
    </w:p>
    <w:p w14:paraId="62C091BE">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本部门2020年度政府</w:t>
      </w:r>
      <w:r>
        <w:rPr>
          <w:rFonts w:hint="eastAsia" w:ascii="仿宋_GB2312" w:eastAsia="仿宋_GB2312" w:cs="仿宋_GB2312"/>
          <w:bCs/>
          <w:color w:val="auto"/>
          <w:kern w:val="0"/>
          <w:sz w:val="32"/>
          <w:szCs w:val="32"/>
          <w:highlight w:val="none"/>
          <w:lang w:eastAsia="zh-CN"/>
        </w:rPr>
        <w:t>性</w:t>
      </w:r>
      <w:r>
        <w:rPr>
          <w:rFonts w:hint="eastAsia" w:ascii="仿宋_GB2312" w:eastAsia="仿宋_GB2312" w:cs="仿宋_GB2312"/>
          <w:bCs/>
          <w:color w:val="auto"/>
          <w:kern w:val="0"/>
          <w:sz w:val="32"/>
          <w:szCs w:val="32"/>
          <w:highlight w:val="none"/>
        </w:rPr>
        <w:t>基金预算财政拨款收、支总决算</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万元。与2019年相比，收、支总计各</w:t>
      </w:r>
      <w:r>
        <w:rPr>
          <w:rFonts w:hint="eastAsia" w:ascii="仿宋_GB2312" w:eastAsia="仿宋_GB2312" w:cs="仿宋_GB2312"/>
          <w:bCs/>
          <w:color w:val="auto"/>
          <w:kern w:val="0"/>
          <w:sz w:val="32"/>
          <w:szCs w:val="32"/>
          <w:highlight w:val="none"/>
          <w:lang w:eastAsia="zh-CN"/>
        </w:rPr>
        <w:t>减少</w:t>
      </w:r>
      <w:r>
        <w:rPr>
          <w:rFonts w:hint="eastAsia" w:ascii="仿宋_GB2312" w:eastAsia="仿宋_GB2312" w:cs="仿宋_GB2312"/>
          <w:bCs/>
          <w:color w:val="auto"/>
          <w:kern w:val="0"/>
          <w:sz w:val="32"/>
          <w:szCs w:val="32"/>
          <w:highlight w:val="none"/>
          <w:lang w:val="en-US" w:eastAsia="zh-CN"/>
        </w:rPr>
        <w:t>598.61</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下降</w:t>
      </w:r>
      <w:r>
        <w:rPr>
          <w:rFonts w:hint="eastAsia" w:ascii="仿宋_GB2312" w:eastAsia="仿宋_GB2312" w:cs="仿宋_GB2312"/>
          <w:bCs/>
          <w:color w:val="auto"/>
          <w:kern w:val="0"/>
          <w:sz w:val="32"/>
          <w:szCs w:val="32"/>
          <w:highlight w:val="none"/>
          <w:lang w:val="en-US" w:eastAsia="zh-CN"/>
        </w:rPr>
        <w:t>100</w:t>
      </w:r>
      <w:r>
        <w:rPr>
          <w:rFonts w:hint="eastAsia" w:ascii="仿宋_GB2312" w:eastAsia="仿宋_GB2312" w:cs="仿宋_GB2312"/>
          <w:bCs/>
          <w:color w:val="auto"/>
          <w:kern w:val="0"/>
          <w:sz w:val="32"/>
          <w:szCs w:val="32"/>
          <w:highlight w:val="none"/>
        </w:rPr>
        <w:t>%。其中，支出情况为：</w:t>
      </w:r>
    </w:p>
    <w:p w14:paraId="2E78F370">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 xml:space="preserve">    2020年政府</w:t>
      </w:r>
      <w:r>
        <w:rPr>
          <w:rFonts w:hint="eastAsia" w:ascii="仿宋_GB2312" w:eastAsia="仿宋_GB2312" w:cs="仿宋_GB2312"/>
          <w:bCs/>
          <w:color w:val="auto"/>
          <w:kern w:val="0"/>
          <w:sz w:val="32"/>
          <w:szCs w:val="32"/>
          <w:highlight w:val="none"/>
          <w:lang w:eastAsia="zh-CN"/>
        </w:rPr>
        <w:t>性</w:t>
      </w:r>
      <w:r>
        <w:rPr>
          <w:rFonts w:hint="eastAsia" w:ascii="仿宋_GB2312" w:eastAsia="仿宋_GB2312" w:cs="仿宋_GB2312"/>
          <w:bCs/>
          <w:color w:val="auto"/>
          <w:kern w:val="0"/>
          <w:sz w:val="32"/>
          <w:szCs w:val="32"/>
          <w:highlight w:val="none"/>
        </w:rPr>
        <w:t>基金拨款年初预算为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万元，支出决算</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w:t>
      </w:r>
    </w:p>
    <w:p w14:paraId="3A15039A">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color w:val="auto"/>
          <w:kern w:val="0"/>
          <w:sz w:val="32"/>
          <w:szCs w:val="32"/>
          <w:highlight w:val="none"/>
          <w:lang w:eastAsia="zh-CN"/>
        </w:rPr>
      </w:pPr>
      <w:r>
        <w:rPr>
          <w:rFonts w:hint="eastAsia" w:ascii="仿宋_GB2312" w:eastAsia="仿宋_GB2312" w:cs="仿宋_GB2312"/>
          <w:b/>
          <w:color w:val="auto"/>
          <w:kern w:val="0"/>
          <w:sz w:val="32"/>
          <w:szCs w:val="32"/>
          <w:highlight w:val="none"/>
        </w:rPr>
        <w:t>2020年度</w:t>
      </w:r>
      <w:r>
        <w:rPr>
          <w:rFonts w:hint="eastAsia" w:ascii="仿宋_GB2312" w:eastAsia="仿宋_GB2312" w:cs="仿宋_GB2312"/>
          <w:b/>
          <w:color w:val="auto"/>
          <w:kern w:val="0"/>
          <w:sz w:val="32"/>
          <w:szCs w:val="32"/>
          <w:highlight w:val="none"/>
          <w:lang w:eastAsia="zh-CN"/>
        </w:rPr>
        <w:t>国有资本经营预算财政拨款支出情况说明</w:t>
      </w:r>
    </w:p>
    <w:p w14:paraId="4866761C">
      <w:pPr>
        <w:numPr>
          <w:ilvl w:val="0"/>
          <w:numId w:val="0"/>
        </w:numPr>
        <w:autoSpaceDE w:val="0"/>
        <w:autoSpaceDN w:val="0"/>
        <w:adjustRightInd w:val="0"/>
        <w:spacing w:line="580" w:lineRule="exact"/>
        <w:jc w:val="left"/>
        <w:rPr>
          <w:rFonts w:hint="eastAsia" w:ascii="仿宋_GB2312" w:eastAsia="仿宋_GB2312" w:cs="仿宋_GB2312"/>
          <w:b w:val="0"/>
          <w:bCs/>
          <w:color w:val="auto"/>
          <w:kern w:val="0"/>
          <w:sz w:val="32"/>
          <w:szCs w:val="32"/>
          <w:highlight w:val="none"/>
          <w:lang w:val="en-US" w:eastAsia="zh-CN"/>
        </w:rPr>
      </w:pPr>
      <w:r>
        <w:rPr>
          <w:rFonts w:hint="eastAsia" w:ascii="仿宋_GB2312" w:eastAsia="仿宋_GB2312" w:cs="仿宋_GB2312"/>
          <w:b/>
          <w:color w:val="auto"/>
          <w:kern w:val="0"/>
          <w:sz w:val="32"/>
          <w:szCs w:val="32"/>
          <w:highlight w:val="none"/>
          <w:lang w:val="en-US" w:eastAsia="zh-CN"/>
        </w:rPr>
        <w:t xml:space="preserve">    </w:t>
      </w:r>
      <w:r>
        <w:rPr>
          <w:rFonts w:hint="eastAsia" w:ascii="仿宋_GB2312" w:eastAsia="仿宋_GB2312" w:cs="仿宋_GB2312"/>
          <w:b w:val="0"/>
          <w:bCs/>
          <w:color w:val="auto"/>
          <w:kern w:val="0"/>
          <w:sz w:val="32"/>
          <w:szCs w:val="32"/>
          <w:highlight w:val="none"/>
          <w:lang w:val="en-US" w:eastAsia="zh-CN"/>
        </w:rPr>
        <w:t>2020年度国有资本经营预算财政拨款本年支出2</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 w:val="0"/>
          <w:bCs/>
          <w:color w:val="auto"/>
          <w:kern w:val="0"/>
          <w:sz w:val="32"/>
          <w:szCs w:val="32"/>
          <w:highlight w:val="none"/>
          <w:lang w:val="en-US" w:eastAsia="zh-CN"/>
        </w:rPr>
        <w:t>657.00万元，为“三供一业”移交补助支出175.00万元和其他国有企业资本金注入2</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 w:val="0"/>
          <w:bCs/>
          <w:color w:val="auto"/>
          <w:kern w:val="0"/>
          <w:sz w:val="32"/>
          <w:szCs w:val="32"/>
          <w:highlight w:val="none"/>
          <w:lang w:val="en-US" w:eastAsia="zh-CN"/>
        </w:rPr>
        <w:t>482.00万元。</w:t>
      </w:r>
    </w:p>
    <w:p w14:paraId="51BAD65D">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eastAsia="仿宋_GB2312"/>
          <w:b/>
          <w:color w:val="auto"/>
          <w:kern w:val="0"/>
          <w:sz w:val="32"/>
          <w:szCs w:val="32"/>
          <w:highlight w:val="none"/>
          <w:lang w:eastAsia="zh-CN"/>
        </w:rPr>
        <w:t>十、</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年度预算绩效情况说明</w:t>
      </w:r>
    </w:p>
    <w:p w14:paraId="31160F56">
      <w:pPr>
        <w:numPr>
          <w:ilvl w:val="0"/>
          <w:numId w:val="2"/>
        </w:num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绩效管理工作开展情况</w:t>
      </w:r>
    </w:p>
    <w:p w14:paraId="7F10D2CD">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根据财政预算管理要求，我部门组织对2020年度</w:t>
      </w:r>
      <w:r>
        <w:rPr>
          <w:rFonts w:hint="eastAsia" w:ascii="仿宋_GB2312" w:eastAsia="仿宋_GB2312" w:cs="仿宋_GB2312"/>
          <w:bCs/>
          <w:color w:val="auto"/>
          <w:kern w:val="0"/>
          <w:sz w:val="32"/>
          <w:szCs w:val="32"/>
          <w:highlight w:val="none"/>
          <w:lang w:eastAsia="zh-CN"/>
        </w:rPr>
        <w:t>部门（单位）预算整体支出、预算</w:t>
      </w:r>
      <w:r>
        <w:rPr>
          <w:rFonts w:hint="eastAsia" w:ascii="仿宋_GB2312" w:eastAsia="仿宋_GB2312" w:cs="仿宋_GB2312"/>
          <w:bCs/>
          <w:color w:val="auto"/>
          <w:kern w:val="0"/>
          <w:sz w:val="32"/>
          <w:szCs w:val="32"/>
          <w:highlight w:val="none"/>
        </w:rPr>
        <w:t>项目支出全面开展绩效自评。</w:t>
      </w:r>
      <w:r>
        <w:rPr>
          <w:rFonts w:hint="eastAsia" w:ascii="仿宋_GB2312" w:eastAsia="仿宋_GB2312" w:cs="仿宋_GB2312"/>
          <w:bCs/>
          <w:color w:val="auto"/>
          <w:kern w:val="0"/>
          <w:sz w:val="32"/>
          <w:szCs w:val="32"/>
          <w:highlight w:val="none"/>
          <w:lang w:eastAsia="zh-CN"/>
        </w:rPr>
        <w:t>整体支出绩效</w:t>
      </w:r>
      <w:r>
        <w:rPr>
          <w:rFonts w:hint="eastAsia" w:ascii="仿宋_GB2312" w:eastAsia="仿宋_GB2312" w:cs="仿宋_GB2312"/>
          <w:bCs/>
          <w:color w:val="auto"/>
          <w:kern w:val="0"/>
          <w:sz w:val="32"/>
          <w:szCs w:val="32"/>
          <w:highlight w:val="none"/>
          <w:lang w:val="en-US" w:eastAsia="zh-CN"/>
        </w:rPr>
        <w:t>3个，</w:t>
      </w:r>
      <w:r>
        <w:rPr>
          <w:rFonts w:hint="eastAsia" w:ascii="仿宋_GB2312" w:eastAsia="仿宋_GB2312" w:cs="仿宋_GB2312"/>
          <w:bCs/>
          <w:color w:val="auto"/>
          <w:kern w:val="0"/>
          <w:sz w:val="32"/>
          <w:szCs w:val="32"/>
          <w:highlight w:val="none"/>
        </w:rPr>
        <w:t>共涉及预算资金</w:t>
      </w:r>
      <w:r>
        <w:rPr>
          <w:rFonts w:hint="eastAsia" w:ascii="仿宋_GB2312" w:eastAsia="仿宋_GB2312" w:cs="仿宋_GB2312"/>
          <w:bCs/>
          <w:color w:val="auto"/>
          <w:kern w:val="0"/>
          <w:sz w:val="32"/>
          <w:szCs w:val="32"/>
          <w:highlight w:val="none"/>
          <w:lang w:val="en-US" w:eastAsia="zh-CN"/>
        </w:rPr>
        <w:t>1</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794.65万元；项目支出绩效4个，</w:t>
      </w:r>
      <w:r>
        <w:rPr>
          <w:rFonts w:hint="eastAsia" w:ascii="仿宋_GB2312" w:eastAsia="仿宋_GB2312" w:cs="仿宋_GB2312"/>
          <w:bCs/>
          <w:color w:val="auto"/>
          <w:kern w:val="0"/>
          <w:sz w:val="32"/>
          <w:szCs w:val="32"/>
          <w:highlight w:val="none"/>
        </w:rPr>
        <w:t>共涉及预算资金</w:t>
      </w:r>
      <w:r>
        <w:rPr>
          <w:rFonts w:hint="eastAsia" w:ascii="仿宋_GB2312" w:eastAsia="仿宋_GB2312" w:cs="仿宋_GB2312"/>
          <w:bCs/>
          <w:color w:val="auto"/>
          <w:kern w:val="0"/>
          <w:sz w:val="32"/>
          <w:szCs w:val="32"/>
          <w:highlight w:val="none"/>
          <w:lang w:val="en-US" w:eastAsia="zh-CN"/>
        </w:rPr>
        <w:t>11</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843.00万元（其中：一般公共预算3</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810.00万元、国有资本经营预算8</w:t>
      </w:r>
      <w:r>
        <w:rPr>
          <w:rFonts w:hint="eastAsia" w:ascii="宋体" w:hAnsi="宋体" w:eastAsia="宋体" w:cs="宋体"/>
          <w:i w:val="0"/>
          <w:color w:val="auto"/>
          <w:kern w:val="0"/>
          <w:sz w:val="22"/>
          <w:szCs w:val="22"/>
          <w:highlight w:val="none"/>
          <w:u w:val="none"/>
          <w:lang w:val="en-US" w:eastAsia="zh-CN" w:bidi="ar"/>
        </w:rPr>
        <w:t>,</w:t>
      </w:r>
      <w:r>
        <w:rPr>
          <w:rFonts w:hint="eastAsia" w:ascii="仿宋_GB2312" w:eastAsia="仿宋_GB2312" w:cs="仿宋_GB2312"/>
          <w:bCs/>
          <w:color w:val="auto"/>
          <w:kern w:val="0"/>
          <w:sz w:val="32"/>
          <w:szCs w:val="32"/>
          <w:highlight w:val="none"/>
          <w:lang w:val="en-US" w:eastAsia="zh-CN"/>
        </w:rPr>
        <w:t>033.00万元），</w:t>
      </w:r>
      <w:r>
        <w:rPr>
          <w:rFonts w:hint="eastAsia" w:ascii="仿宋_GB2312" w:eastAsia="仿宋_GB2312" w:cs="仿宋_GB2312"/>
          <w:bCs/>
          <w:color w:val="auto"/>
          <w:kern w:val="0"/>
          <w:sz w:val="32"/>
          <w:szCs w:val="32"/>
          <w:highlight w:val="none"/>
        </w:rPr>
        <w:t>自评覆盖率达到</w:t>
      </w:r>
      <w:r>
        <w:rPr>
          <w:rFonts w:hint="eastAsia" w:ascii="仿宋_GB2312" w:eastAsia="仿宋_GB2312" w:cs="仿宋_GB2312"/>
          <w:bCs/>
          <w:color w:val="auto"/>
          <w:kern w:val="0"/>
          <w:sz w:val="32"/>
          <w:szCs w:val="32"/>
          <w:highlight w:val="none"/>
          <w:lang w:val="en-US" w:eastAsia="zh-CN"/>
        </w:rPr>
        <w:t>100</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rPr>
        <w:t xml:space="preserve"> </w:t>
      </w:r>
    </w:p>
    <w:p w14:paraId="159E4F5C">
      <w:pPr>
        <w:spacing w:line="560" w:lineRule="exact"/>
        <w:ind w:firstLine="640" w:firstLineChars="200"/>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（二）部门决算中项目绩效自评结果。</w:t>
      </w:r>
    </w:p>
    <w:p w14:paraId="24A68AA5">
      <w:pPr>
        <w:spacing w:line="520"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我部门根据年初设定的绩效目标，</w:t>
      </w:r>
      <w:r>
        <w:rPr>
          <w:rFonts w:hint="eastAsia" w:ascii="仿宋_GB2312" w:eastAsia="仿宋_GB2312" w:cs="仿宋_GB2312"/>
          <w:color w:val="auto"/>
          <w:kern w:val="0"/>
          <w:sz w:val="32"/>
          <w:szCs w:val="32"/>
          <w:highlight w:val="none"/>
          <w:lang w:eastAsia="zh-CN"/>
        </w:rPr>
        <w:t>中央及自治区配套资金600万元（含职教幼教补助）项目</w:t>
      </w:r>
      <w:r>
        <w:rPr>
          <w:rFonts w:hint="eastAsia" w:ascii="仿宋_GB2312" w:eastAsia="仿宋_GB2312" w:cs="仿宋_GB2312"/>
          <w:color w:val="auto"/>
          <w:kern w:val="0"/>
          <w:sz w:val="32"/>
          <w:szCs w:val="32"/>
          <w:highlight w:val="none"/>
        </w:rPr>
        <w:t>自评得分为</w:t>
      </w:r>
      <w:r>
        <w:rPr>
          <w:rFonts w:hint="eastAsia" w:ascii="仿宋_GB2312" w:eastAsia="仿宋_GB2312" w:cs="仿宋_GB2312"/>
          <w:color w:val="auto"/>
          <w:kern w:val="0"/>
          <w:sz w:val="32"/>
          <w:szCs w:val="32"/>
          <w:highlight w:val="none"/>
          <w:lang w:val="en-US" w:eastAsia="zh-CN"/>
        </w:rPr>
        <w:t>97.30</w:t>
      </w:r>
      <w:r>
        <w:rPr>
          <w:rFonts w:hint="eastAsia" w:ascii="仿宋_GB2312" w:eastAsia="仿宋_GB2312" w:cs="仿宋_GB2312"/>
          <w:color w:val="auto"/>
          <w:kern w:val="0"/>
          <w:sz w:val="32"/>
          <w:szCs w:val="32"/>
          <w:highlight w:val="none"/>
        </w:rPr>
        <w:t>分。通过发放补助资金，妥善解决国有企业职教幼教退休教师待遇问题，提高了职教幼教退休教师生活水平，惠及众多百姓，切实维护了社会和谐稳定。同时按照绩效目标要求，加强资金管理，控制各项费用的支出，实行专款专用，提高资金使用效率，确保职教幼教待遇相关工作持续有效开展。</w:t>
      </w:r>
    </w:p>
    <w:p w14:paraId="6DCC37E9">
      <w:pPr>
        <w:spacing w:line="520"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我部门根据年初设定的绩效目标，“三供一业”分离移交费用</w:t>
      </w:r>
      <w:r>
        <w:rPr>
          <w:rFonts w:hint="eastAsia" w:ascii="仿宋_GB2312" w:eastAsia="仿宋_GB2312" w:cs="仿宋_GB2312"/>
          <w:color w:val="auto"/>
          <w:kern w:val="0"/>
          <w:sz w:val="32"/>
          <w:szCs w:val="32"/>
          <w:highlight w:val="none"/>
          <w:lang w:eastAsia="zh-CN"/>
        </w:rPr>
        <w:t>项目</w:t>
      </w:r>
      <w:r>
        <w:rPr>
          <w:rFonts w:hint="eastAsia" w:ascii="仿宋_GB2312" w:eastAsia="仿宋_GB2312" w:cs="仿宋_GB2312"/>
          <w:color w:val="auto"/>
          <w:kern w:val="0"/>
          <w:sz w:val="32"/>
          <w:szCs w:val="32"/>
          <w:highlight w:val="none"/>
        </w:rPr>
        <w:t>自评得分为</w:t>
      </w:r>
      <w:r>
        <w:rPr>
          <w:rFonts w:hint="eastAsia" w:ascii="仿宋_GB2312" w:eastAsia="仿宋_GB2312" w:cs="仿宋_GB2312"/>
          <w:color w:val="auto"/>
          <w:kern w:val="0"/>
          <w:sz w:val="32"/>
          <w:szCs w:val="32"/>
          <w:highlight w:val="none"/>
          <w:lang w:val="en-US" w:eastAsia="zh-CN"/>
        </w:rPr>
        <w:t>98.80</w:t>
      </w:r>
      <w:r>
        <w:rPr>
          <w:rFonts w:hint="eastAsia" w:ascii="仿宋_GB2312" w:eastAsia="仿宋_GB2312" w:cs="仿宋_GB2312"/>
          <w:color w:val="auto"/>
          <w:kern w:val="0"/>
          <w:sz w:val="32"/>
          <w:szCs w:val="32"/>
          <w:highlight w:val="none"/>
        </w:rPr>
        <w:t>分。通过实施改造，妥善解决国有企业生活区水电和物业管理问题，改善了职工家属区原本老旧的水、电、物业设备和环境，惠及众多百姓，提高了职工居民用水、用电的安全性，提升了城市形象。同时按照绩效目标要求，加强资金管理，控制各项费用的支出，实行专款专用，提高资金使用效率，确保“三供一业”分离移交工作持续有效开展。</w:t>
      </w:r>
    </w:p>
    <w:p w14:paraId="03198396">
      <w:pPr>
        <w:spacing w:line="520" w:lineRule="exact"/>
        <w:ind w:firstLine="640" w:firstLineChars="200"/>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我部门根据年初设定的绩效目标，企业改革补助支出</w:t>
      </w:r>
      <w:r>
        <w:rPr>
          <w:rFonts w:hint="eastAsia" w:ascii="仿宋_GB2312" w:eastAsia="仿宋_GB2312" w:cs="仿宋_GB2312"/>
          <w:color w:val="auto"/>
          <w:kern w:val="0"/>
          <w:sz w:val="32"/>
          <w:szCs w:val="32"/>
          <w:highlight w:val="none"/>
          <w:lang w:eastAsia="zh-CN"/>
        </w:rPr>
        <w:t>项目</w:t>
      </w:r>
      <w:r>
        <w:rPr>
          <w:rFonts w:hint="eastAsia" w:ascii="仿宋_GB2312" w:eastAsia="仿宋_GB2312" w:cs="仿宋_GB2312"/>
          <w:color w:val="auto"/>
          <w:kern w:val="0"/>
          <w:sz w:val="32"/>
          <w:szCs w:val="32"/>
          <w:highlight w:val="none"/>
        </w:rPr>
        <w:t>自评得分为</w:t>
      </w:r>
      <w:r>
        <w:rPr>
          <w:rFonts w:hint="eastAsia" w:ascii="仿宋_GB2312" w:eastAsia="仿宋_GB2312" w:cs="仿宋_GB2312"/>
          <w:color w:val="auto"/>
          <w:kern w:val="0"/>
          <w:sz w:val="32"/>
          <w:szCs w:val="32"/>
          <w:highlight w:val="none"/>
          <w:lang w:val="en-US" w:eastAsia="zh-CN"/>
        </w:rPr>
        <w:t>97.00</w:t>
      </w:r>
      <w:r>
        <w:rPr>
          <w:rFonts w:hint="eastAsia" w:ascii="仿宋_GB2312" w:eastAsia="仿宋_GB2312" w:cs="仿宋_GB2312"/>
          <w:color w:val="auto"/>
          <w:kern w:val="0"/>
          <w:sz w:val="32"/>
          <w:szCs w:val="32"/>
          <w:highlight w:val="none"/>
        </w:rPr>
        <w:t>分。通过实施改造，妥善解决国有企业生活区水电和物业管理问题，改善了职工家属区原本老旧的水、电、物业设备和环境，惠及众多百姓，提高了职工居民用水、用电的安全性，提升了城市形象。同时按照绩效目标要求，加强资金管理，控制各项费用的支出，实行专款专用，提高资金使用效率，确保“三供一业”分离移交工作持续有效开展。</w:t>
      </w:r>
    </w:p>
    <w:p w14:paraId="441CE125">
      <w:pPr>
        <w:spacing w:line="520" w:lineRule="exact"/>
        <w:ind w:firstLine="640" w:firstLineChars="200"/>
        <w:rPr>
          <w:rFonts w:hint="eastAsia" w:ascii="仿宋_GB2312" w:eastAsia="仿宋_GB2312" w:cs="仿宋_GB2312"/>
          <w:bCs/>
          <w:color w:val="auto"/>
          <w:kern w:val="0"/>
          <w:sz w:val="32"/>
          <w:szCs w:val="32"/>
          <w:highlight w:val="none"/>
        </w:rPr>
      </w:pPr>
      <w:r>
        <w:rPr>
          <w:rFonts w:hint="eastAsia" w:ascii="仿宋_GB2312" w:eastAsia="仿宋_GB2312" w:cs="仿宋_GB2312"/>
          <w:color w:val="auto"/>
          <w:kern w:val="0"/>
          <w:sz w:val="32"/>
          <w:szCs w:val="32"/>
          <w:highlight w:val="none"/>
        </w:rPr>
        <w:t>我部门</w:t>
      </w:r>
      <w:r>
        <w:rPr>
          <w:rFonts w:hint="eastAsia" w:ascii="仿宋_GB2312" w:eastAsia="仿宋_GB2312" w:cs="仿宋_GB2312"/>
          <w:bCs/>
          <w:color w:val="auto"/>
          <w:kern w:val="0"/>
          <w:sz w:val="32"/>
          <w:szCs w:val="32"/>
          <w:highlight w:val="none"/>
        </w:rPr>
        <w:t>根据年初设定的绩效目标，注入企业国有资本金自评得分为</w:t>
      </w:r>
      <w:r>
        <w:rPr>
          <w:rFonts w:hint="eastAsia" w:ascii="仿宋_GB2312" w:eastAsia="仿宋_GB2312" w:cs="仿宋_GB2312"/>
          <w:bCs/>
          <w:color w:val="auto"/>
          <w:kern w:val="0"/>
          <w:sz w:val="32"/>
          <w:szCs w:val="32"/>
          <w:highlight w:val="none"/>
          <w:lang w:val="en-US" w:eastAsia="zh-CN"/>
        </w:rPr>
        <w:t>97.90</w:t>
      </w:r>
      <w:r>
        <w:rPr>
          <w:rFonts w:hint="eastAsia" w:ascii="仿宋_GB2312" w:eastAsia="仿宋_GB2312" w:cs="仿宋_GB2312"/>
          <w:bCs/>
          <w:color w:val="auto"/>
          <w:kern w:val="0"/>
          <w:sz w:val="32"/>
          <w:szCs w:val="32"/>
          <w:highlight w:val="none"/>
        </w:rPr>
        <w:t>分。</w:t>
      </w:r>
      <w:r>
        <w:rPr>
          <w:rFonts w:hint="eastAsia" w:ascii="仿宋_GB2312" w:hAnsi="仿宋_GB2312" w:eastAsia="仿宋_GB2312" w:cs="仿宋_GB2312"/>
          <w:color w:val="auto"/>
          <w:sz w:val="32"/>
          <w:szCs w:val="32"/>
          <w:highlight w:val="none"/>
          <w:lang w:val="en-US" w:eastAsia="zh-CN"/>
        </w:rPr>
        <w:t>柳州市东方梦工厂·柳空文化艺术创业园</w:t>
      </w:r>
      <w:r>
        <w:rPr>
          <w:rFonts w:hint="eastAsia" w:ascii="仿宋_GB2312" w:eastAsia="仿宋_GB2312" w:cs="仿宋_GB2312"/>
          <w:bCs/>
          <w:color w:val="auto"/>
          <w:kern w:val="0"/>
          <w:sz w:val="32"/>
          <w:szCs w:val="32"/>
          <w:highlight w:val="none"/>
          <w:lang w:val="en-US" w:eastAsia="zh-CN"/>
        </w:rPr>
        <w:t>项目建设按时按质如期完成，该项目作为广西最大的工业遗存改造成复合型文创园和文商旅综合体，使柳州老工业遗产得到有效保护和传承。2020年11月，广西文化旅游发展大会在柳州召开，柳州市东方梦工厂·柳空文化艺术创业园承办“工业文化旅游”板块，接待区内外重点文化旅游企业、主要行业协会、行业联盟、知名文化旅游专家等近800人，得到广西文化旅游发展大会专家的好评。人民网、腾讯网、柳州晚报、柳州微信公众平台等多家新闻媒体进行了相关报道。活动取得良好的经济和社会效应，对拉动柳州旅游经济发展、持续打造柳州工业旅游城市品牌，提升柳州城市知名度和影响力发挥了积极作用。</w:t>
      </w:r>
    </w:p>
    <w:p w14:paraId="0A5FEFDA">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十</w:t>
      </w:r>
      <w:r>
        <w:rPr>
          <w:rFonts w:hint="eastAsia" w:ascii="仿宋_GB2312" w:eastAsia="仿宋_GB2312" w:cs="仿宋_GB2312"/>
          <w:b/>
          <w:color w:val="auto"/>
          <w:kern w:val="0"/>
          <w:sz w:val="32"/>
          <w:szCs w:val="32"/>
          <w:highlight w:val="none"/>
          <w:lang w:eastAsia="zh-CN"/>
        </w:rPr>
        <w:t>一</w:t>
      </w:r>
      <w:r>
        <w:rPr>
          <w:rFonts w:hint="eastAsia" w:ascii="仿宋_GB2312" w:eastAsia="仿宋_GB2312" w:cs="仿宋_GB2312"/>
          <w:b/>
          <w:color w:val="auto"/>
          <w:kern w:val="0"/>
          <w:sz w:val="32"/>
          <w:szCs w:val="32"/>
          <w:highlight w:val="none"/>
        </w:rPr>
        <w:t>、其他重要事项的情况</w:t>
      </w:r>
    </w:p>
    <w:p w14:paraId="0ED2D794">
      <w:pPr>
        <w:autoSpaceDE w:val="0"/>
        <w:autoSpaceDN w:val="0"/>
        <w:adjustRightInd w:val="0"/>
        <w:spacing w:line="58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（一）机关运行经费支出情况。2020年度部门机关运行经费支出</w:t>
      </w:r>
      <w:r>
        <w:rPr>
          <w:rFonts w:hint="eastAsia" w:ascii="仿宋_GB2312" w:eastAsia="仿宋_GB2312" w:cs="仿宋_GB2312"/>
          <w:color w:val="auto"/>
          <w:kern w:val="0"/>
          <w:sz w:val="32"/>
          <w:szCs w:val="32"/>
          <w:highlight w:val="none"/>
          <w:lang w:val="en-US" w:eastAsia="zh-CN"/>
        </w:rPr>
        <w:t>113.40</w:t>
      </w:r>
      <w:r>
        <w:rPr>
          <w:rFonts w:hint="eastAsia" w:ascii="仿宋_GB2312" w:eastAsia="仿宋_GB2312" w:cs="仿宋_GB2312"/>
          <w:color w:val="auto"/>
          <w:kern w:val="0"/>
          <w:sz w:val="32"/>
          <w:szCs w:val="32"/>
          <w:highlight w:val="none"/>
        </w:rPr>
        <w:t>万元，比2019年</w:t>
      </w:r>
      <w:r>
        <w:rPr>
          <w:rFonts w:hint="eastAsia" w:ascii="仿宋_GB2312" w:eastAsia="仿宋_GB2312" w:cs="仿宋_GB2312"/>
          <w:color w:val="auto"/>
          <w:kern w:val="0"/>
          <w:sz w:val="32"/>
          <w:szCs w:val="32"/>
          <w:highlight w:val="none"/>
          <w:lang w:eastAsia="zh-CN"/>
        </w:rPr>
        <w:t>减少</w:t>
      </w:r>
      <w:r>
        <w:rPr>
          <w:rFonts w:hint="eastAsia" w:ascii="仿宋_GB2312" w:eastAsia="仿宋_GB2312" w:cs="仿宋_GB2312"/>
          <w:color w:val="auto"/>
          <w:kern w:val="0"/>
          <w:sz w:val="32"/>
          <w:szCs w:val="32"/>
          <w:highlight w:val="none"/>
          <w:lang w:val="en-US" w:eastAsia="zh-CN"/>
        </w:rPr>
        <w:t>3.41</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下降</w:t>
      </w:r>
      <w:r>
        <w:rPr>
          <w:rFonts w:hint="eastAsia" w:ascii="仿宋_GB2312" w:eastAsia="仿宋_GB2312" w:cs="仿宋_GB2312"/>
          <w:color w:val="auto"/>
          <w:kern w:val="0"/>
          <w:sz w:val="32"/>
          <w:szCs w:val="32"/>
          <w:highlight w:val="none"/>
          <w:lang w:val="en-US" w:eastAsia="zh-CN"/>
        </w:rPr>
        <w:t>2.92</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eastAsia="zh-CN"/>
        </w:rPr>
        <w:t>减少</w:t>
      </w:r>
      <w:r>
        <w:rPr>
          <w:rFonts w:hint="eastAsia" w:ascii="仿宋_GB2312" w:eastAsia="仿宋_GB2312" w:cs="仿宋_GB2312"/>
          <w:color w:val="auto"/>
          <w:kern w:val="0"/>
          <w:sz w:val="32"/>
          <w:szCs w:val="32"/>
          <w:highlight w:val="none"/>
        </w:rPr>
        <w:t>原</w:t>
      </w:r>
      <w:r>
        <w:rPr>
          <w:rFonts w:hint="eastAsia" w:ascii="仿宋_GB2312" w:eastAsia="仿宋_GB2312" w:cs="仿宋_GB2312"/>
          <w:color w:val="auto"/>
          <w:kern w:val="0"/>
          <w:sz w:val="32"/>
          <w:szCs w:val="32"/>
          <w:highlight w:val="none"/>
          <w:lang w:eastAsia="zh-CN"/>
        </w:rPr>
        <w:t>因：厉行节俭，严控经费开支</w:t>
      </w:r>
      <w:r>
        <w:rPr>
          <w:rFonts w:hint="eastAsia" w:ascii="仿宋_GB2312" w:eastAsia="仿宋_GB2312" w:cs="仿宋_GB2312"/>
          <w:color w:val="auto"/>
          <w:kern w:val="0"/>
          <w:sz w:val="32"/>
          <w:szCs w:val="32"/>
          <w:highlight w:val="none"/>
        </w:rPr>
        <w:t>。</w:t>
      </w:r>
    </w:p>
    <w:p w14:paraId="6835E4F9">
      <w:pPr>
        <w:autoSpaceDE w:val="0"/>
        <w:autoSpaceDN w:val="0"/>
        <w:adjustRightInd w:val="0"/>
        <w:spacing w:line="58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（二）政府采购支出情况。2020年度部门政府采购支出总额</w:t>
      </w:r>
      <w:r>
        <w:rPr>
          <w:rFonts w:hint="eastAsia" w:ascii="仿宋_GB2312" w:eastAsia="仿宋_GB2312" w:cs="仿宋_GB2312"/>
          <w:color w:val="auto"/>
          <w:kern w:val="0"/>
          <w:sz w:val="32"/>
          <w:szCs w:val="32"/>
          <w:highlight w:val="none"/>
          <w:lang w:val="en-US" w:eastAsia="zh-CN"/>
        </w:rPr>
        <w:t>179.53</w:t>
      </w:r>
      <w:r>
        <w:rPr>
          <w:rFonts w:hint="eastAsia" w:ascii="仿宋_GB2312" w:eastAsia="仿宋_GB2312" w:cs="仿宋_GB2312"/>
          <w:color w:val="auto"/>
          <w:kern w:val="0"/>
          <w:sz w:val="32"/>
          <w:szCs w:val="32"/>
          <w:highlight w:val="none"/>
        </w:rPr>
        <w:t>万元，其中：货物支出</w:t>
      </w:r>
      <w:r>
        <w:rPr>
          <w:rFonts w:hint="eastAsia" w:ascii="仿宋_GB2312" w:eastAsia="仿宋_GB2312" w:cs="仿宋_GB2312"/>
          <w:color w:val="auto"/>
          <w:kern w:val="0"/>
          <w:sz w:val="32"/>
          <w:szCs w:val="32"/>
          <w:highlight w:val="none"/>
          <w:lang w:val="en-US" w:eastAsia="zh-CN"/>
        </w:rPr>
        <w:t>10.87</w:t>
      </w:r>
      <w:r>
        <w:rPr>
          <w:rFonts w:hint="eastAsia" w:ascii="仿宋_GB2312" w:eastAsia="仿宋_GB2312" w:cs="仿宋_GB2312"/>
          <w:color w:val="auto"/>
          <w:kern w:val="0"/>
          <w:sz w:val="32"/>
          <w:szCs w:val="32"/>
          <w:highlight w:val="none"/>
        </w:rPr>
        <w:t>万元、服务支出</w:t>
      </w:r>
      <w:r>
        <w:rPr>
          <w:rFonts w:hint="eastAsia" w:ascii="仿宋_GB2312" w:eastAsia="仿宋_GB2312" w:cs="仿宋_GB2312"/>
          <w:color w:val="auto"/>
          <w:kern w:val="0"/>
          <w:sz w:val="32"/>
          <w:szCs w:val="32"/>
          <w:highlight w:val="none"/>
          <w:lang w:val="en-US" w:eastAsia="zh-CN"/>
        </w:rPr>
        <w:t>168.66</w:t>
      </w:r>
      <w:r>
        <w:rPr>
          <w:rFonts w:hint="eastAsia" w:ascii="仿宋_GB2312" w:eastAsia="仿宋_GB2312" w:cs="仿宋_GB2312"/>
          <w:color w:val="auto"/>
          <w:kern w:val="0"/>
          <w:sz w:val="32"/>
          <w:szCs w:val="32"/>
          <w:highlight w:val="none"/>
        </w:rPr>
        <w:t>万元。</w:t>
      </w:r>
    </w:p>
    <w:p w14:paraId="6D36CF11">
      <w:pPr>
        <w:autoSpaceDE w:val="0"/>
        <w:autoSpaceDN w:val="0"/>
        <w:adjustRightInd w:val="0"/>
        <w:spacing w:line="58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（三）国有资产占用情况。截至年末部门共有车辆</w:t>
      </w:r>
      <w:r>
        <w:rPr>
          <w:rFonts w:hint="eastAsia" w:ascii="仿宋_GB2312" w:eastAsia="仿宋_GB2312" w:cs="仿宋_GB2312"/>
          <w:color w:val="auto"/>
          <w:kern w:val="0"/>
          <w:sz w:val="32"/>
          <w:szCs w:val="32"/>
          <w:highlight w:val="none"/>
          <w:lang w:val="en-US" w:eastAsia="zh-CN"/>
        </w:rPr>
        <w:t>1</w:t>
      </w:r>
      <w:r>
        <w:rPr>
          <w:rFonts w:hint="eastAsia" w:ascii="仿宋_GB2312" w:eastAsia="仿宋_GB2312" w:cs="仿宋_GB2312"/>
          <w:color w:val="auto"/>
          <w:kern w:val="0"/>
          <w:sz w:val="32"/>
          <w:szCs w:val="32"/>
          <w:highlight w:val="none"/>
        </w:rPr>
        <w:t>辆，其中：公务用</w:t>
      </w:r>
      <w:r>
        <w:rPr>
          <w:rFonts w:hint="eastAsia" w:ascii="仿宋_GB2312" w:eastAsia="仿宋_GB2312" w:cs="仿宋_GB2312"/>
          <w:color w:val="auto"/>
          <w:kern w:val="0"/>
          <w:sz w:val="32"/>
          <w:szCs w:val="32"/>
          <w:highlight w:val="none"/>
          <w:lang w:eastAsia="zh-CN"/>
        </w:rPr>
        <w:t>车</w:t>
      </w:r>
      <w:r>
        <w:rPr>
          <w:rFonts w:hint="eastAsia" w:ascii="仿宋_GB2312" w:eastAsia="仿宋_GB2312" w:cs="仿宋_GB2312"/>
          <w:color w:val="auto"/>
          <w:kern w:val="0"/>
          <w:sz w:val="32"/>
          <w:szCs w:val="32"/>
          <w:highlight w:val="none"/>
          <w:lang w:val="en-US" w:eastAsia="zh-CN"/>
        </w:rPr>
        <w:t>1</w:t>
      </w:r>
      <w:r>
        <w:rPr>
          <w:rFonts w:hint="eastAsia" w:ascii="仿宋_GB2312" w:eastAsia="仿宋_GB2312" w:cs="仿宋_GB2312"/>
          <w:color w:val="auto"/>
          <w:kern w:val="0"/>
          <w:sz w:val="32"/>
          <w:szCs w:val="32"/>
          <w:highlight w:val="none"/>
        </w:rPr>
        <w:t xml:space="preserve">辆。 </w:t>
      </w:r>
    </w:p>
    <w:p w14:paraId="0CB1E33A">
      <w:pPr>
        <w:spacing w:line="580" w:lineRule="exact"/>
        <w:ind w:firstLine="645"/>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14:paraId="14B826C9">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财政拨款收入：指市本级财政当年拨付的资金。</w:t>
      </w:r>
    </w:p>
    <w:p w14:paraId="1E8D48D7">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lang w:eastAsia="zh-CN"/>
        </w:rPr>
        <w:t>国有资本经营收入：</w:t>
      </w:r>
      <w:r>
        <w:rPr>
          <w:rFonts w:hint="eastAsia" w:ascii="仿宋_GB2312" w:hAnsi="华文仿宋" w:eastAsia="仿宋_GB2312" w:cs="宋体"/>
          <w:bCs/>
          <w:color w:val="auto"/>
          <w:kern w:val="0"/>
          <w:sz w:val="32"/>
          <w:szCs w:val="32"/>
          <w:highlight w:val="none"/>
          <w:lang w:val="en-US" w:eastAsia="zh-CN" w:bidi="ar-SA"/>
        </w:rPr>
        <w:t>指市本级人民政府及其部门、机构履行出资人职责的企业上缴的国有资本收益。</w:t>
      </w:r>
    </w:p>
    <w:p w14:paraId="74778296">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事业收入：指事业单位开展专业活动用辅助活动所取得的收入。</w:t>
      </w:r>
    </w:p>
    <w:p w14:paraId="7AE77A4F">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经营收入：指事业单位在专业业务活动及辅助活动之外开展非独立核算经营活动取得的收入。</w:t>
      </w:r>
    </w:p>
    <w:p w14:paraId="11395643">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其他收入：指除上述“财政拨款收入”、“事业收入”、“经营收入”等以外的收入。主要是：</w:t>
      </w:r>
      <w:r>
        <w:rPr>
          <w:rFonts w:hint="eastAsia" w:ascii="仿宋_GB2312" w:eastAsia="仿宋_GB2312"/>
          <w:bCs/>
          <w:color w:val="auto"/>
          <w:sz w:val="32"/>
          <w:szCs w:val="32"/>
          <w:highlight w:val="none"/>
          <w:lang w:eastAsia="zh-CN"/>
        </w:rPr>
        <w:t>利息收入</w:t>
      </w:r>
    </w:p>
    <w:p w14:paraId="3470F4FD">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color w:val="auto"/>
          <w:sz w:val="32"/>
          <w:szCs w:val="32"/>
          <w:highlight w:val="none"/>
        </w:rPr>
        <w:t>使用非财政拨款结余</w:t>
      </w:r>
      <w:r>
        <w:rPr>
          <w:rFonts w:hint="eastAsia" w:ascii="仿宋_GB2312" w:eastAsia="仿宋_GB2312"/>
          <w:bCs/>
          <w:color w:val="auto"/>
          <w:sz w:val="32"/>
          <w:szCs w:val="32"/>
          <w:highlight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841CF50">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年初结转和结余：指以前年度尚未完成、结转到本年按规定继续使用的资金。</w:t>
      </w:r>
    </w:p>
    <w:p w14:paraId="41E53309">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结余分配：指事业单位按规定提取的职工福利基金、事业基金和缴纳的所得税，以及建设单位按规定应交回的基本建设竣工项目结余资金。</w:t>
      </w:r>
    </w:p>
    <w:p w14:paraId="444A4171">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年末结转和结余：指本年度或以前年度预算安排、因客观条件发生变化无法按原计划实施，需延迟到以后年度按有关规定继续使用的资金。</w:t>
      </w:r>
    </w:p>
    <w:p w14:paraId="385CB63F">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基本支出：指为保障机构正常运转、完成日常工作任务而发生的人员支出和公用支出。</w:t>
      </w:r>
    </w:p>
    <w:p w14:paraId="2CCC66F0">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项目支出：指在基本支出之外为完成特定行政任务和事业发展目标所发生的支出。</w:t>
      </w:r>
    </w:p>
    <w:p w14:paraId="7C2AB8FB">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经营支出：指事业单位在专业业务活动及其辅助活动之外开展非独立核算经营活动发生的支出。</w:t>
      </w:r>
    </w:p>
    <w:p w14:paraId="3A8308EF">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lang w:eastAsia="zh-CN"/>
        </w:rPr>
        <w:t>国有资本经营预算支出：</w:t>
      </w:r>
      <w:r>
        <w:rPr>
          <w:rFonts w:hint="eastAsia" w:ascii="仿宋_GB2312" w:hAnsi="华文仿宋" w:eastAsia="仿宋_GB2312" w:cs="宋体"/>
          <w:bCs/>
          <w:color w:val="auto"/>
          <w:kern w:val="0"/>
          <w:sz w:val="32"/>
          <w:szCs w:val="32"/>
          <w:highlight w:val="none"/>
          <w:lang w:val="en-US" w:eastAsia="zh-CN" w:bidi="ar-SA"/>
        </w:rPr>
        <w:t>指用于国有资本经营预算收入安排的支出。</w:t>
      </w:r>
    </w:p>
    <w:p w14:paraId="6F8B50E0">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E936583">
      <w:pPr>
        <w:numPr>
          <w:ilvl w:val="0"/>
          <w:numId w:val="3"/>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14B8F3C9">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p>
    <w:p w14:paraId="5F657EAA">
      <w:pPr>
        <w:rPr>
          <w:color w:val="auto"/>
          <w:highlight w:val="none"/>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29BA04-CF8E-4EFB-8F8C-229FDA5CB6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AA2CC49-731C-4E48-AB93-47068A19FDDE}"/>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36E5ED2B-D1F0-47DC-9051-F0C4F28A8766}"/>
  </w:font>
  <w:font w:name="Cordia New">
    <w:altName w:val="Yu Gothic UI Light"/>
    <w:panose1 w:val="020B0304020202020204"/>
    <w:charset w:val="00"/>
    <w:family w:val="swiss"/>
    <w:pitch w:val="default"/>
    <w:sig w:usb0="00000000" w:usb1="00000000" w:usb2="00000000" w:usb3="00000000" w:csb0="00010001" w:csb1="00000000"/>
    <w:embedRegular r:id="rId4" w:fontKey="{BE690637-6D04-4BE0-9D9A-F777BF23991C}"/>
  </w:font>
  <w:font w:name="仿宋">
    <w:panose1 w:val="02010609060101010101"/>
    <w:charset w:val="86"/>
    <w:family w:val="modern"/>
    <w:pitch w:val="default"/>
    <w:sig w:usb0="800002BF" w:usb1="38CF7CFA" w:usb2="00000016" w:usb3="00000000" w:csb0="00040001" w:csb1="00000000"/>
    <w:embedRegular r:id="rId5" w:fontKey="{F57F7C57-4F02-46E6-83BA-B0E02083C365}"/>
  </w:font>
  <w:font w:name="华文仿宋">
    <w:panose1 w:val="02010600040101010101"/>
    <w:charset w:val="86"/>
    <w:family w:val="auto"/>
    <w:pitch w:val="default"/>
    <w:sig w:usb0="00000287" w:usb1="080F0000" w:usb2="00000000" w:usb3="00000000" w:csb0="0004009F" w:csb1="DFD70000"/>
    <w:embedRegular r:id="rId6" w:fontKey="{5E60F05F-FF0D-4166-8838-E8199E3B8A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F05D9">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14:paraId="765A952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CA11">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Dc2YTcyMTA3YWRkNmYyNzZmYWI5ZjVmMjc4ODcifQ=="/>
  </w:docVars>
  <w:rsids>
    <w:rsidRoot w:val="4C256E3D"/>
    <w:rsid w:val="00066CA3"/>
    <w:rsid w:val="006C1367"/>
    <w:rsid w:val="00715385"/>
    <w:rsid w:val="00F66C5B"/>
    <w:rsid w:val="022B47F5"/>
    <w:rsid w:val="031B5280"/>
    <w:rsid w:val="0BB01119"/>
    <w:rsid w:val="0E074DDF"/>
    <w:rsid w:val="124204B5"/>
    <w:rsid w:val="141E191C"/>
    <w:rsid w:val="182962AB"/>
    <w:rsid w:val="19D073EB"/>
    <w:rsid w:val="1CC31F67"/>
    <w:rsid w:val="24D337DC"/>
    <w:rsid w:val="25AB20FD"/>
    <w:rsid w:val="26460DBA"/>
    <w:rsid w:val="2B6F74EB"/>
    <w:rsid w:val="2C4219FE"/>
    <w:rsid w:val="2D912691"/>
    <w:rsid w:val="34020F86"/>
    <w:rsid w:val="39A63F06"/>
    <w:rsid w:val="3CB4380E"/>
    <w:rsid w:val="3ED1439F"/>
    <w:rsid w:val="42FB4A35"/>
    <w:rsid w:val="48374EDC"/>
    <w:rsid w:val="4C256E3D"/>
    <w:rsid w:val="4CB52F0F"/>
    <w:rsid w:val="4D34481E"/>
    <w:rsid w:val="52E54EA6"/>
    <w:rsid w:val="532F1F9A"/>
    <w:rsid w:val="59541A53"/>
    <w:rsid w:val="5B86720E"/>
    <w:rsid w:val="5E995A3E"/>
    <w:rsid w:val="62163194"/>
    <w:rsid w:val="624D024D"/>
    <w:rsid w:val="650E086A"/>
    <w:rsid w:val="6BAA0708"/>
    <w:rsid w:val="6BEE5C82"/>
    <w:rsid w:val="6E664DC3"/>
    <w:rsid w:val="70DC1ED6"/>
    <w:rsid w:val="71B44B07"/>
    <w:rsid w:val="73A82991"/>
    <w:rsid w:val="75CC3A06"/>
    <w:rsid w:val="761E36A4"/>
    <w:rsid w:val="767C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paragraph" w:customStyle="1" w:styleId="11">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6518</Words>
  <Characters>7423</Characters>
  <Lines>60</Lines>
  <Paragraphs>17</Paragraphs>
  <TotalTime>63</TotalTime>
  <ScaleCrop>false</ScaleCrop>
  <LinksUpToDate>false</LinksUpToDate>
  <CharactersWithSpaces>7513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2021-08-02T02:08:00Z</cp:lastPrinted>
  <dcterms:modified xsi:type="dcterms:W3CDTF">2024-11-06T02:49:15Z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338A70F639D54618B966F3A927DA0F39</vt:lpwstr>
  </property>
</Properties>
</file>