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u w:val="single"/>
        </w:rPr>
        <w:t>委党校</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第一部分：柳州市委党校概况</w:t>
      </w:r>
    </w:p>
    <w:p>
      <w:pPr>
        <w:numPr>
          <w:ilvl w:val="0"/>
          <w:numId w:val="1"/>
        </w:numPr>
        <w:ind w:firstLine="645"/>
        <w:rPr>
          <w:rFonts w:ascii="仿宋_GB2312" w:eastAsia="仿宋_GB2312"/>
          <w:sz w:val="32"/>
          <w:szCs w:val="32"/>
        </w:rPr>
      </w:pPr>
      <w:r>
        <w:rPr>
          <w:rFonts w:hint="eastAsia" w:ascii="仿宋_GB2312" w:eastAsia="仿宋_GB2312"/>
          <w:sz w:val="32"/>
          <w:szCs w:val="32"/>
        </w:rPr>
        <w:t>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柳州市委党校</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highlight w:val="yellow"/>
        </w:rPr>
      </w:pPr>
      <w:r>
        <w:rPr>
          <w:rFonts w:hint="eastAsia" w:ascii="仿宋_GB2312" w:eastAsia="仿宋_GB2312"/>
          <w:sz w:val="32"/>
          <w:szCs w:val="32"/>
          <w:highlight w:val="yellow"/>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柳州市委党校</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yellow"/>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柳州市委党校</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40" w:lineRule="exact"/>
        <w:ind w:firstLine="640" w:firstLineChars="200"/>
        <w:jc w:val="left"/>
        <w:rPr>
          <w:rFonts w:ascii="仿宋_GB2312" w:hAnsi="仿宋" w:eastAsia="仿宋_GB2312"/>
          <w:sz w:val="32"/>
          <w:szCs w:val="32"/>
        </w:rPr>
      </w:pPr>
      <w:r>
        <w:rPr>
          <w:rFonts w:hint="eastAsia" w:ascii="华文仿宋" w:hAnsi="华文仿宋" w:eastAsia="华文仿宋" w:cs="Arial"/>
          <w:kern w:val="0"/>
          <w:sz w:val="32"/>
          <w:szCs w:val="32"/>
        </w:rPr>
        <w:t>柳州市委党校是在党委直接领导下培养党员领导干部和理论干部的学校，是党委的重要部门，是轮训党员领导干部，培养党的理论队伍，学习、研究和宣传马克思列宁主义、毛泽东思想、邓小平理论、“三个代表”重要思想、科学发展观、习近平新时代中国特色社会主义思想等重大战略思想的重要阵地，是党员领导干部党性锻炼的熔炉。</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sz w:val="32"/>
          <w:szCs w:val="32"/>
        </w:rPr>
        <w:t>柳州市委党校（一级预算单位，无二层机构）</w:t>
      </w:r>
    </w:p>
    <w:p>
      <w:pPr>
        <w:jc w:val="center"/>
      </w:pPr>
    </w:p>
    <w:p>
      <w:pPr>
        <w:ind w:firstLine="4176" w:firstLineChars="13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柳州市委党校</w:t>
      </w:r>
      <w:r>
        <w:rPr>
          <w:rFonts w:hint="eastAsia" w:ascii="仿宋_GB2312" w:eastAsia="仿宋_GB2312"/>
          <w:b/>
          <w:sz w:val="32"/>
          <w:szCs w:val="32"/>
        </w:rPr>
        <w:t xml:space="preserve"> 2020年部门决算报表</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表一至表九详见附件一</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2020年部门决算报表（全表）详见附件二</w:t>
      </w:r>
    </w:p>
    <w:p>
      <w:pPr>
        <w:rPr>
          <w:rFonts w:ascii="仿宋_GB2312" w:eastAsia="仿宋_GB2312"/>
          <w:sz w:val="32"/>
          <w:szCs w:val="32"/>
        </w:rPr>
      </w:pPr>
      <w:r>
        <w:rPr>
          <w:rFonts w:hint="eastAsia" w:ascii="仿宋_GB2312" w:eastAsia="仿宋_GB2312"/>
          <w:sz w:val="32"/>
          <w:szCs w:val="32"/>
        </w:rPr>
        <w:t xml:space="preserve">    2020年预算项目支出绩效自评表详见附件三</w:t>
      </w:r>
    </w:p>
    <w:p>
      <w:pPr>
        <w:rPr>
          <w:rFonts w:ascii="仿宋_GB2312" w:eastAsia="仿宋_GB2312"/>
          <w:sz w:val="32"/>
          <w:szCs w:val="32"/>
        </w:rPr>
        <w:sectPr>
          <w:footerReference r:id="rId3" w:type="default"/>
          <w:footerReference r:id="rId4" w:type="even"/>
          <w:pgSz w:w="16838" w:h="11906" w:orient="landscape"/>
          <w:pgMar w:top="1377" w:right="1440" w:bottom="1797" w:left="1440" w:header="851" w:footer="992" w:gutter="0"/>
          <w:pgNumType w:fmt="numberInDash"/>
          <w:cols w:space="720" w:num="1"/>
          <w:docGrid w:type="lines" w:linePitch="312" w:charSpace="0"/>
        </w:sectPr>
      </w:pPr>
      <w:r>
        <w:rPr>
          <w:rFonts w:hint="eastAsia" w:ascii="仿宋_GB2312" w:eastAsia="仿宋_GB2312"/>
          <w:sz w:val="32"/>
          <w:szCs w:val="32"/>
        </w:rPr>
        <w:t xml:space="preserve">           </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柳州市委党校</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2020年度收入总计3203.39万元，支出总计3203.39万元，与2019年相比，收、支分别减少405.39万元；分别减少11.23%，减少原因：受新冠疫情影响培训收入断崖式下降导致财政拨款收入减少，部分项目暂不进行支出。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本年收入总计3203.39万元 ，其中：一般公共预算财政拨款收入2886.39万元；占比90.1%;年初结转和结余316.7万元；占比9.9%。</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本年支出合计2870.09 万元，其中：基本支出 2292.17万元，占79.86%；项目支出577.92万元， 占20.14%。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2020年度财政拨款收、支总决算 3203.39万元、3203.39万元。与 2019 年相比，财政拨款收、支总计各减少405.39万元，减少11.23%,减少原因：受新冠疫情影响培训收入断崖式下降导致财政拨款收入减少，部分项目暂不进行支出。</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2870.09 万元，占本年支出合计的100%。与 2019 年相比，财政拨款支出减少292.35 万元，下降9.24%,减少原因：受新冠疫情影响培训收入断崖式下降导致财政拨款收入减少，部分项目暂不进行支出。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2870.09 万元，主要用于以下方面： 教育（类）支出2305.18 万元，占 80.32%；社会保障和就业（类）支出318.68万元，占 11.1%；卫生健康（类）支出121.7 万元，占4.24%； 住房保障（类）支出124.53万元，占 4.34%。</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sz w:val="28"/>
          <w:szCs w:val="28"/>
        </w:rPr>
        <w:t>3041.46</w:t>
      </w:r>
      <w:r>
        <w:rPr>
          <w:rFonts w:hint="eastAsia" w:ascii="仿宋_GB2312" w:eastAsia="仿宋_GB2312" w:cs="仿宋_GB2312"/>
          <w:bCs/>
          <w:kern w:val="0"/>
          <w:sz w:val="32"/>
          <w:szCs w:val="32"/>
        </w:rPr>
        <w:t>万元，支出决算为2870.09万元，完成年初预算的 94.37%。决算数小于预算数的主要原因：因新冠疫情影响收入减少，财政拨款收入减少，支出相应减少。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教育（类）进修及培训（款）干部教育（项）。年初预算为2534.11 万元，支出决算为 2305.18万元，完成年初预算的90.97%。</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社会保障和就业支出（类）行政事业单位养老支出（款）行政单位离退休（项）。年初预算为</w:t>
      </w:r>
      <w:r>
        <w:rPr>
          <w:rFonts w:hint="eastAsia" w:ascii="仿宋_GB2312" w:eastAsia="仿宋_GB2312"/>
          <w:sz w:val="28"/>
          <w:szCs w:val="28"/>
        </w:rPr>
        <w:t>98.25</w:t>
      </w:r>
      <w:r>
        <w:rPr>
          <w:rFonts w:hint="eastAsia" w:ascii="仿宋_GB2312" w:eastAsia="仿宋_GB2312" w:cs="仿宋_GB2312"/>
          <w:bCs/>
          <w:kern w:val="0"/>
          <w:sz w:val="32"/>
          <w:szCs w:val="32"/>
        </w:rPr>
        <w:t>万元，支出决算为 99.11万元，完成年初预算的100.88%。决算数大于预算数的原因是追加安排财政拨款支出预算2.3万元，补12月工资额度。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sz w:val="28"/>
          <w:szCs w:val="28"/>
        </w:rPr>
        <w:t>129.8</w:t>
      </w:r>
      <w:r>
        <w:rPr>
          <w:rFonts w:hint="eastAsia" w:ascii="仿宋_GB2312" w:eastAsia="仿宋_GB2312" w:cs="仿宋_GB2312"/>
          <w:bCs/>
          <w:kern w:val="0"/>
          <w:sz w:val="32"/>
          <w:szCs w:val="32"/>
        </w:rPr>
        <w:t>万元，支出决算为158.31万元，完成年初预算的121.96%。决算数大于预算数的原因是动用上年结余1.25万元，追加安排财政拨款支出预算32.18万元。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sz w:val="28"/>
          <w:szCs w:val="28"/>
        </w:rPr>
        <w:t>64.9</w:t>
      </w:r>
      <w:r>
        <w:rPr>
          <w:rFonts w:hint="eastAsia" w:ascii="仿宋_GB2312" w:eastAsia="仿宋_GB2312" w:cs="仿宋_GB2312"/>
          <w:bCs/>
          <w:kern w:val="0"/>
          <w:sz w:val="32"/>
          <w:szCs w:val="32"/>
        </w:rPr>
        <w:t>万元，支出决算为61.27万元，完成年初预算的94.41%。决算数小于预算数的原因是：</w:t>
      </w:r>
      <w:r>
        <w:rPr>
          <w:rFonts w:hint="eastAsia" w:ascii="仿宋_GB2312" w:eastAsia="仿宋_GB2312"/>
          <w:sz w:val="28"/>
          <w:szCs w:val="28"/>
        </w:rPr>
        <w:t>参公1名人员辞职，有2名在职人员退休。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sz w:val="28"/>
          <w:szCs w:val="28"/>
        </w:rPr>
        <w:t>78.84</w:t>
      </w:r>
      <w:r>
        <w:rPr>
          <w:rFonts w:hint="eastAsia" w:ascii="仿宋_GB2312" w:eastAsia="仿宋_GB2312" w:cs="仿宋_GB2312"/>
          <w:bCs/>
          <w:kern w:val="0"/>
          <w:sz w:val="32"/>
          <w:szCs w:val="32"/>
        </w:rPr>
        <w:t>万元，支出决算为75.55万元，完成年初预算的95.83%。决算数小于预算数的原因是：</w:t>
      </w:r>
      <w:r>
        <w:rPr>
          <w:rFonts w:hint="eastAsia" w:ascii="仿宋_GB2312" w:eastAsia="仿宋_GB2312"/>
          <w:sz w:val="28"/>
          <w:szCs w:val="28"/>
        </w:rPr>
        <w:t>参公1名人员辞职，有2名在职人员退休。</w:t>
      </w:r>
    </w:p>
    <w:p>
      <w:pPr>
        <w:spacing w:line="560" w:lineRule="exact"/>
        <w:ind w:firstLine="435"/>
        <w:rPr>
          <w:rFonts w:ascii="仿宋_GB2312" w:eastAsia="仿宋_GB2312"/>
          <w:sz w:val="28"/>
          <w:szCs w:val="28"/>
        </w:rPr>
      </w:pPr>
      <w:r>
        <w:rPr>
          <w:rFonts w:hint="eastAsia" w:ascii="仿宋_GB2312" w:eastAsia="仿宋_GB2312" w:cs="仿宋_GB2312"/>
          <w:bCs/>
          <w:kern w:val="0"/>
          <w:sz w:val="32"/>
          <w:szCs w:val="32"/>
          <w:lang w:val="en-US" w:eastAsia="zh-CN"/>
        </w:rPr>
        <w:t xml:space="preserve"> 6.</w:t>
      </w:r>
      <w:r>
        <w:rPr>
          <w:rFonts w:hint="eastAsia" w:ascii="仿宋_GB2312" w:eastAsia="仿宋_GB2312" w:cs="仿宋_GB2312"/>
          <w:bCs/>
          <w:kern w:val="0"/>
          <w:sz w:val="32"/>
          <w:szCs w:val="32"/>
        </w:rPr>
        <w:t>卫生健康支出（类）行政事业单位医疗（款）公务员医疗补助（项）。年初预算为</w:t>
      </w:r>
      <w:r>
        <w:rPr>
          <w:rFonts w:hint="eastAsia" w:ascii="仿宋_GB2312" w:eastAsia="仿宋_GB2312"/>
          <w:sz w:val="28"/>
          <w:szCs w:val="28"/>
        </w:rPr>
        <w:t>38.21</w:t>
      </w:r>
      <w:r>
        <w:rPr>
          <w:rFonts w:hint="eastAsia" w:ascii="仿宋_GB2312" w:eastAsia="仿宋_GB2312" w:cs="仿宋_GB2312"/>
          <w:bCs/>
          <w:kern w:val="0"/>
          <w:sz w:val="32"/>
          <w:szCs w:val="32"/>
        </w:rPr>
        <w:t>万元，支出决算为46.15万元，完成年初预算的120.78%。决算数大于预算数的原因是</w:t>
      </w:r>
      <w:r>
        <w:rPr>
          <w:rFonts w:hint="eastAsia" w:ascii="仿宋_GB2312" w:eastAsia="仿宋_GB2312"/>
          <w:sz w:val="28"/>
          <w:szCs w:val="28"/>
        </w:rPr>
        <w:t>动用上年结转（结余）8.48万元，调减财政拨款预算支出0.53万元。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sz w:val="28"/>
          <w:szCs w:val="28"/>
        </w:rPr>
        <w:t>97.35</w:t>
      </w:r>
      <w:r>
        <w:rPr>
          <w:rFonts w:hint="eastAsia" w:ascii="仿宋_GB2312" w:eastAsia="仿宋_GB2312" w:cs="仿宋_GB2312"/>
          <w:bCs/>
          <w:kern w:val="0"/>
          <w:sz w:val="32"/>
          <w:szCs w:val="32"/>
        </w:rPr>
        <w:t>万元，支出决算为122.08万元，完成年初预算的125.4%。决算数大于预算数的原因是追加安排财政拨款支出预算24.73万元。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住房保障支出（类）住房改革支出（款）购房补贴（项）。年初预算为</w:t>
      </w:r>
      <w:r>
        <w:rPr>
          <w:rFonts w:hint="eastAsia" w:ascii="仿宋_GB2312" w:eastAsia="仿宋_GB2312"/>
          <w:sz w:val="28"/>
          <w:szCs w:val="28"/>
        </w:rPr>
        <w:t>3.33</w:t>
      </w:r>
      <w:r>
        <w:rPr>
          <w:rFonts w:hint="eastAsia" w:ascii="仿宋_GB2312" w:eastAsia="仿宋_GB2312" w:cs="仿宋_GB2312"/>
          <w:bCs/>
          <w:kern w:val="0"/>
          <w:sz w:val="32"/>
          <w:szCs w:val="32"/>
        </w:rPr>
        <w:t>万元，支出决算为2.45万元，完成年初预算的73.57%。决算数小于预算数的原因是：</w:t>
      </w:r>
      <w:r>
        <w:rPr>
          <w:rFonts w:hint="eastAsia" w:ascii="仿宋_GB2312" w:eastAsia="仿宋_GB2312"/>
          <w:sz w:val="28"/>
          <w:szCs w:val="28"/>
        </w:rPr>
        <w:t>因核发下拨的名单中有部分辞职或者调走人员，未发放其购房补贴。</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2020年度财政拨款基本支出2292.17万元，其中：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人员经费1704.58万元，主要包括：基本工资、津贴补贴、 奖金、伙食补助费、绩效工资、机关事业单位基本养老保险缴费、职业年金缴费、其他社会保障缴费、其他工资福利支出、 离休费、退休费、抚恤金、生活补助、医疗费、奖励金、住房公积金、其他工资福利支出、离休费、退休费、抚恤金、生活补助、医疗费补助、其他对个人和家庭的补助。</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公用经费587.59万元，主要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料费、劳务费、委托业务费、工会经费、福利费、公务用车运行维护费、其他交通费用、税金及附加费用、其他商品和服务支出、办公设备购置、专用设备购置、专用设备购置、无形资产购置、其他资本性支出。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 年度“三公”经费财政拨款支出预算为7.42万元，支出决算为2.2万元，完成预算的29.65%，其中：因公出国（境）费支出决算为0万元，完成预算的0%；公务用车购置及运行费支出决算为1.84万元，完成预算的92%；公务接待费支出决算为0.36万元，完成预算的12.33%。2020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精神和厉行节约要求，进一步从严控制“三公”经费开支，新冠疫情影响无法因公出国（境），全年实际支出比预算有所节约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2020年度“三公”经费财政拨款支出决算数比2019年减少1.57万元，下降41.42%，其中：因公出国（境）费支出决 算减少1.72万元，下降100%；公务用车购置及运行费支出决算减少0.16万元，下降8%；公务接待费支出决算增加0.29万元，增加414.29%。</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新冠疫情影响无法出国（境）；公务用车购置及运行费支出减少的主要原因是车辆大修费用减少；公务接待费支出增加的主要原因是因接待需要，按接待流程进行公务接待。</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2020年度“三公”经费财政拨款支出决算中，因公出国（境）费支出决算0万元，占0%；公务用车购置及运行费支出决算1.84万元，占83.64 %；公务接待费支出决算0.36万元，占16.36 %。具体情况如下：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2.公务用车购置及运行费支出1.84万元。其中： 公务用车购置支出为0万元。公务用车运行支出1.84万元。主要用于车辆维修及保养、保险费、油费支出。2020年，机关所属单位开支财政拨款的公务用车保有量为1辆。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3.公务接待费支出0.36万元。其中：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国内公务接待支出0.36万元。接待广西区党校、贺州市委党校、崇左市委党校共3批次，接待来宾共36人。2020年共接待国内来访团组3个、来宾36人次。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基金预算财政拨款收、支总决算 0万元、0万元。</w:t>
      </w:r>
    </w:p>
    <w:p>
      <w:pPr>
        <w:autoSpaceDE w:val="0"/>
        <w:autoSpaceDN w:val="0"/>
        <w:adjustRightInd w:val="0"/>
        <w:spacing w:line="580" w:lineRule="exact"/>
        <w:ind w:firstLine="630"/>
        <w:jc w:val="left"/>
        <w:rPr>
          <w:rFonts w:ascii="仿宋_GB2312" w:eastAsia="仿宋_GB2312" w:cs="仿宋_GB2312"/>
          <w:b/>
          <w:kern w:val="0"/>
          <w:sz w:val="32"/>
          <w:szCs w:val="32"/>
          <w:highlight w:val="yellow"/>
        </w:rPr>
      </w:pPr>
      <w:r>
        <w:rPr>
          <w:rFonts w:hint="eastAsia" w:ascii="仿宋_GB2312" w:eastAsia="仿宋_GB2312" w:cs="仿宋_GB2312"/>
          <w:b/>
          <w:kern w:val="0"/>
          <w:sz w:val="32"/>
          <w:szCs w:val="32"/>
          <w:highlight w:val="yellow"/>
        </w:rPr>
        <w:t>九、国有资本经营预算财政拨款支出情况说明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highlight w:val="yellow"/>
        </w:rPr>
      </w:pPr>
      <w:r>
        <w:rPr>
          <w:rFonts w:hint="eastAsia" w:ascii="仿宋_GB2312" w:eastAsia="仿宋_GB2312" w:cs="仿宋_GB2312"/>
          <w:b/>
          <w:kern w:val="0"/>
          <w:sz w:val="32"/>
          <w:szCs w:val="32"/>
          <w:highlight w:val="yellow"/>
        </w:rPr>
        <w:t xml:space="preserve">      </w:t>
      </w:r>
      <w:r>
        <w:rPr>
          <w:rFonts w:hint="eastAsia" w:ascii="仿宋_GB2312" w:eastAsia="仿宋_GB2312" w:cs="仿宋_GB2312"/>
          <w:bCs/>
          <w:kern w:val="0"/>
          <w:sz w:val="32"/>
          <w:szCs w:val="32"/>
          <w:highlight w:val="yellow"/>
        </w:rPr>
        <w:t>2020年度国有资本经营预算财政拨款本年支出 0 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根据财政预算管理要求，我部门组织对2020年度一般公共预算项目支出全面开展绩效自评。其中，一级项目1个，共涉及预算资金559.30万元，自评覆盖率达到 100%。 </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部门根据年初设定的绩效目标，培训办学成本及维护经费项目自评得分为94.77分。发现的主要问题及原因：一是受新冠疫情影响严重，社会培训办班班次、社会培训收入、校刊出版等目标的完成度不高；二是因2020年我校非税收入急剧减少，该项目的资金来源断流，部分预算项目已暂缓，预算执行率较低。下一步改进措施：一是充分整合住宿、教室等校内资源，保障主体班顺利举办的前提下，抢占时间、整合资源、合理安排、倾尽全力做好社会培训工作，尽可能地提高社会培训收入；二是厉行节约，合理安排项目，进一步提高项目资金的利用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（一）机关运行经费支出情况。2020年度部门机关运行经费支出587.59万元，比 2019年减少121.15万元，减少17.09%，减少原因：因疫情原因财政减少财政拨款预算支出。</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（二）政府采购支出情况。2020年度部门政府采购支出总额191.79万元，其中：货物支出43.32万元、服务支出148.47万元。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（三）国有资产占用情况。截至年末部门共有车辆1辆，其中：公务用车1 辆。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3BCACF-46E1-4F90-AC54-68A952A4A973}"/>
  </w:font>
  <w:font w:name="黑体">
    <w:panose1 w:val="02010609060101010101"/>
    <w:charset w:val="86"/>
    <w:family w:val="auto"/>
    <w:pitch w:val="default"/>
    <w:sig w:usb0="800002BF" w:usb1="38CF7CFA" w:usb2="00000016" w:usb3="00000000" w:csb0="00040001" w:csb1="00000000"/>
    <w:embedRegular r:id="rId2" w:fontKey="{FA279286-DA28-43E8-93B9-CC7A281CE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083A90E-6F37-4FCB-B003-A657895DBB28}"/>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E1569E72-1B89-4679-BE34-8A2F332FBF37}"/>
  </w:font>
  <w:font w:name="仿宋">
    <w:panose1 w:val="02010609060101010101"/>
    <w:charset w:val="86"/>
    <w:family w:val="auto"/>
    <w:pitch w:val="default"/>
    <w:sig w:usb0="800002BF" w:usb1="38CF7CFA" w:usb2="00000016" w:usb3="00000000" w:csb0="00040001" w:csb1="00000000"/>
    <w:embedRegular r:id="rId5" w:fontKey="{830FC228-7858-4CFD-8BBE-8A859DD5F770}"/>
  </w:font>
  <w:font w:name="华文仿宋">
    <w:altName w:val="仿宋"/>
    <w:panose1 w:val="00000000000000000000"/>
    <w:charset w:val="86"/>
    <w:family w:val="auto"/>
    <w:pitch w:val="default"/>
    <w:sig w:usb0="00000000" w:usb1="00000000" w:usb2="00000010" w:usb3="00000000" w:csb0="0004009F" w:csb1="00000000"/>
    <w:embedRegular r:id="rId6" w:fontKey="{F31C453B-AA8F-4FA4-995B-54E04B3207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FD161"/>
    <w:multiLevelType w:val="singleLevel"/>
    <w:tmpl w:val="4D0FD161"/>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001641E"/>
    <w:rsid w:val="00043AEB"/>
    <w:rsid w:val="00047455"/>
    <w:rsid w:val="00050053"/>
    <w:rsid w:val="00066CA3"/>
    <w:rsid w:val="000723A0"/>
    <w:rsid w:val="00077CE8"/>
    <w:rsid w:val="000B60A9"/>
    <w:rsid w:val="001402B3"/>
    <w:rsid w:val="00145DBC"/>
    <w:rsid w:val="00167566"/>
    <w:rsid w:val="0018150E"/>
    <w:rsid w:val="00193C9A"/>
    <w:rsid w:val="001A5B6A"/>
    <w:rsid w:val="001F36AC"/>
    <w:rsid w:val="00205EA4"/>
    <w:rsid w:val="00206ADA"/>
    <w:rsid w:val="002211DF"/>
    <w:rsid w:val="00233B03"/>
    <w:rsid w:val="00234BD7"/>
    <w:rsid w:val="002C1C22"/>
    <w:rsid w:val="002E2DF2"/>
    <w:rsid w:val="002F5713"/>
    <w:rsid w:val="00341E6D"/>
    <w:rsid w:val="0038227C"/>
    <w:rsid w:val="003A26B1"/>
    <w:rsid w:val="003F02A2"/>
    <w:rsid w:val="00412187"/>
    <w:rsid w:val="004A5688"/>
    <w:rsid w:val="004B033C"/>
    <w:rsid w:val="005248D1"/>
    <w:rsid w:val="00595AEC"/>
    <w:rsid w:val="006460B0"/>
    <w:rsid w:val="006A53CE"/>
    <w:rsid w:val="006C1367"/>
    <w:rsid w:val="006E48B3"/>
    <w:rsid w:val="00704907"/>
    <w:rsid w:val="00715385"/>
    <w:rsid w:val="00792B64"/>
    <w:rsid w:val="0079340F"/>
    <w:rsid w:val="007F14BC"/>
    <w:rsid w:val="007F68DA"/>
    <w:rsid w:val="00846F70"/>
    <w:rsid w:val="00870168"/>
    <w:rsid w:val="0088036A"/>
    <w:rsid w:val="0090213F"/>
    <w:rsid w:val="00971B80"/>
    <w:rsid w:val="009724F5"/>
    <w:rsid w:val="009833CF"/>
    <w:rsid w:val="009911CC"/>
    <w:rsid w:val="009E24AC"/>
    <w:rsid w:val="00A12E25"/>
    <w:rsid w:val="00AA0988"/>
    <w:rsid w:val="00AC171D"/>
    <w:rsid w:val="00AD47C3"/>
    <w:rsid w:val="00AD62B6"/>
    <w:rsid w:val="00AE4E8C"/>
    <w:rsid w:val="00AE561C"/>
    <w:rsid w:val="00AF25FD"/>
    <w:rsid w:val="00AF5717"/>
    <w:rsid w:val="00AF7348"/>
    <w:rsid w:val="00B302B2"/>
    <w:rsid w:val="00B51EBE"/>
    <w:rsid w:val="00B65CFD"/>
    <w:rsid w:val="00BF27C5"/>
    <w:rsid w:val="00C02280"/>
    <w:rsid w:val="00C04905"/>
    <w:rsid w:val="00C15845"/>
    <w:rsid w:val="00C2148E"/>
    <w:rsid w:val="00CA3179"/>
    <w:rsid w:val="00CA3CD1"/>
    <w:rsid w:val="00CA72FA"/>
    <w:rsid w:val="00D233A5"/>
    <w:rsid w:val="00D43C63"/>
    <w:rsid w:val="00D76E6E"/>
    <w:rsid w:val="00E156FB"/>
    <w:rsid w:val="00E618DC"/>
    <w:rsid w:val="00E656BF"/>
    <w:rsid w:val="00ED573C"/>
    <w:rsid w:val="00EE02C9"/>
    <w:rsid w:val="00F52511"/>
    <w:rsid w:val="00F62204"/>
    <w:rsid w:val="00F66C5B"/>
    <w:rsid w:val="00F66D08"/>
    <w:rsid w:val="00F7276D"/>
    <w:rsid w:val="00F9154A"/>
    <w:rsid w:val="00FA3D17"/>
    <w:rsid w:val="00FA615F"/>
    <w:rsid w:val="00FC08EB"/>
    <w:rsid w:val="03B968D7"/>
    <w:rsid w:val="045F33C2"/>
    <w:rsid w:val="0DA86951"/>
    <w:rsid w:val="0E074DDF"/>
    <w:rsid w:val="124204B5"/>
    <w:rsid w:val="182962AB"/>
    <w:rsid w:val="19D073EB"/>
    <w:rsid w:val="1CC31F67"/>
    <w:rsid w:val="24D337DC"/>
    <w:rsid w:val="24E64302"/>
    <w:rsid w:val="26460DBA"/>
    <w:rsid w:val="2B6F74EB"/>
    <w:rsid w:val="2C4219FE"/>
    <w:rsid w:val="2F58331F"/>
    <w:rsid w:val="30F7119F"/>
    <w:rsid w:val="34020F86"/>
    <w:rsid w:val="39A63F06"/>
    <w:rsid w:val="3D284FDE"/>
    <w:rsid w:val="3EA4275E"/>
    <w:rsid w:val="3ED1439F"/>
    <w:rsid w:val="42163FE5"/>
    <w:rsid w:val="44500BF5"/>
    <w:rsid w:val="48374EDC"/>
    <w:rsid w:val="4C256E3D"/>
    <w:rsid w:val="4CB52F0F"/>
    <w:rsid w:val="532F1F9A"/>
    <w:rsid w:val="58281453"/>
    <w:rsid w:val="5E995A3E"/>
    <w:rsid w:val="5F0A72A6"/>
    <w:rsid w:val="62163194"/>
    <w:rsid w:val="624D024D"/>
    <w:rsid w:val="64A22756"/>
    <w:rsid w:val="650E086A"/>
    <w:rsid w:val="661065F8"/>
    <w:rsid w:val="6BAA0708"/>
    <w:rsid w:val="73054437"/>
    <w:rsid w:val="7AA7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paragraph" w:styleId="11">
    <w:name w:val="List Paragraph"/>
    <w:basedOn w:val="1"/>
    <w:unhideWhenUsed/>
    <w:qFormat/>
    <w:uiPriority w:val="99"/>
    <w:pPr>
      <w:ind w:firstLine="420" w:firstLineChars="200"/>
    </w:pPr>
  </w:style>
  <w:style w:type="character" w:customStyle="1" w:styleId="12">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DB255F-B89B-4995-9F9A-9F1B971028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4683</Words>
  <Characters>5281</Characters>
  <Lines>7</Lines>
  <Paragraphs>11</Paragraphs>
  <TotalTime>274</TotalTime>
  <ScaleCrop>false</ScaleCrop>
  <LinksUpToDate>false</LinksUpToDate>
  <CharactersWithSpaces>5436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2023-11-22T08:06:09Z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37F2AE15AF014EC9827181FF6948C312</vt:lpwstr>
  </property>
</Properties>
</file>