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u w:val="single"/>
        </w:rPr>
        <w:t xml:space="preserve"> </w:t>
      </w:r>
      <w:r>
        <w:rPr>
          <w:rFonts w:hint="eastAsia" w:ascii="黑体" w:hAnsi="黑体" w:eastAsia="黑体"/>
          <w:bCs/>
          <w:color w:val="000000"/>
          <w:sz w:val="52"/>
          <w:szCs w:val="52"/>
          <w:u w:val="single"/>
          <w:lang w:eastAsia="zh-CN"/>
        </w:rPr>
        <w:t>莲花山保护中心</w:t>
      </w:r>
      <w:r>
        <w:rPr>
          <w:rFonts w:hint="eastAsia" w:ascii="黑体" w:hAnsi="黑体" w:eastAsia="黑体"/>
          <w:bCs/>
          <w:color w:val="000000"/>
          <w:sz w:val="52"/>
          <w:szCs w:val="52"/>
          <w:u w:val="single"/>
        </w:rPr>
        <w:t xml:space="preserve"> </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柳州市莲花山保护中心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柳州市莲花山保护中心</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柳州市莲花山保护中心</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柳州市莲花山保护中心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柳州市莲花山保护中心（三门江国家森林公园管理处）负责莲花山保护的日常监督管理工作，主要职责是：</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（一）贯彻执行有关法律、法规和《柳州市莲花山保护条例》。</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（二）组织调查莲花山的自然和人文资源，建立数据档案，做好莲花山保护范围和三门江国家森林公园生态保护与修复工作。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（三）负责组织开展莲花山保护宣传教育活动，承担森林资源及生物多样性等生态文化知识的科普及宣传教育工作。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（四）负责莲花山的日常巡查，开展保护范围和公园森林防火及安全生产工作。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（五）负责森林资源管理、生态环境维护、休闲场所提供，做好保护范围和公园旅游资源保护及开发利用工作。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（六）行使《柳州市莲花山保护条例》赋予的行政处罚权。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（七）配合有关主管部门做好莲花山保护的相关工作。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（八）编制公园总体规划并组织协调实施。</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（九）完成上级主管部门交办的其他任务。</w:t>
      </w:r>
    </w:p>
    <w:p>
      <w:pPr>
        <w:ind w:firstLine="646"/>
        <w:rPr>
          <w:rFonts w:ascii="仿宋_GB2312" w:eastAsia="仿宋_GB2312"/>
          <w:sz w:val="32"/>
          <w:szCs w:val="32"/>
        </w:rPr>
      </w:pPr>
      <w:r>
        <w:rPr>
          <w:rFonts w:hint="eastAsia" w:ascii="仿宋_GB2312" w:eastAsia="仿宋_GB2312"/>
          <w:sz w:val="32"/>
          <w:szCs w:val="32"/>
        </w:rPr>
        <w:t>二、部门决算单位构成</w:t>
      </w:r>
    </w:p>
    <w:p>
      <w:pPr>
        <w:keepNext w:val="0"/>
        <w:keepLines w:val="0"/>
        <w:pageBreakBefore w:val="0"/>
        <w:kinsoku/>
        <w:wordWrap/>
        <w:overflowPunct/>
        <w:topLinePunct w:val="0"/>
        <w:autoSpaceDE/>
        <w:autoSpaceDN/>
        <w:bidi w:val="0"/>
        <w:spacing w:beforeAutospacing="0" w:afterAutospacing="0" w:line="560" w:lineRule="exact"/>
        <w:ind w:firstLine="960" w:firstLineChars="300"/>
        <w:jc w:val="both"/>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lang w:val="en-US" w:eastAsia="zh-CN"/>
        </w:rPr>
        <w:t>柳州市莲花山保护中心</w:t>
      </w:r>
      <w:r>
        <w:rPr>
          <w:rFonts w:hint="eastAsia" w:ascii="仿宋_GB2312" w:hAnsi="华文仿宋" w:eastAsia="仿宋_GB2312"/>
          <w:color w:val="000000"/>
          <w:sz w:val="32"/>
          <w:szCs w:val="32"/>
          <w:lang w:eastAsia="zh-CN"/>
        </w:rPr>
        <w:t>共有直属单位</w:t>
      </w:r>
      <w:r>
        <w:rPr>
          <w:rFonts w:hint="eastAsia" w:ascii="仿宋_GB2312" w:hAnsi="华文仿宋" w:eastAsia="仿宋_GB2312"/>
          <w:color w:val="000000"/>
          <w:sz w:val="32"/>
          <w:szCs w:val="32"/>
          <w:lang w:val="en-US" w:eastAsia="zh-CN"/>
        </w:rPr>
        <w:t>1</w:t>
      </w:r>
      <w:r>
        <w:rPr>
          <w:rFonts w:hint="eastAsia" w:ascii="仿宋_GB2312" w:hAnsi="华文仿宋" w:eastAsia="仿宋_GB2312"/>
          <w:color w:val="000000"/>
          <w:sz w:val="32"/>
          <w:szCs w:val="32"/>
          <w:lang w:eastAsia="zh-CN"/>
        </w:rPr>
        <w:t>个。其中：</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olor w:val="000000"/>
          <w:sz w:val="32"/>
          <w:szCs w:val="32"/>
          <w:lang w:eastAsia="zh-CN"/>
        </w:rPr>
      </w:pPr>
      <w:r>
        <w:rPr>
          <w:rFonts w:hint="eastAsia" w:ascii="仿宋_GB2312" w:hAnsi="仿宋" w:eastAsia="仿宋_GB2312"/>
          <w:color w:val="auto"/>
          <w:sz w:val="32"/>
          <w:szCs w:val="32"/>
          <w:lang w:val="en-US" w:eastAsia="zh-CN"/>
        </w:rPr>
        <w:t>（一）全额拨款事业单位</w:t>
      </w:r>
      <w:r>
        <w:rPr>
          <w:rFonts w:hint="eastAsia" w:ascii="仿宋_GB2312" w:hAnsi="华文仿宋" w:eastAsia="仿宋_GB2312"/>
          <w:color w:val="000000"/>
          <w:sz w:val="32"/>
          <w:szCs w:val="32"/>
          <w:lang w:val="en-US" w:eastAsia="zh-CN"/>
        </w:rPr>
        <w:t>1</w:t>
      </w:r>
      <w:r>
        <w:rPr>
          <w:rFonts w:hint="eastAsia" w:ascii="仿宋_GB2312" w:hAnsi="华文仿宋" w:eastAsia="仿宋_GB2312"/>
          <w:color w:val="000000"/>
          <w:sz w:val="32"/>
          <w:szCs w:val="32"/>
          <w:lang w:eastAsia="zh-CN"/>
        </w:rPr>
        <w:t>个，是柳州市莲花山保护中心（柳州市三门江国家森林公园管理处）。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pPr>
      <w:r>
        <w:rPr>
          <w:rFonts w:hint="eastAsia" w:ascii="仿宋_GB2312" w:hAnsi="仿宋_GB2312" w:eastAsia="仿宋_GB2312" w:cs="仿宋_GB2312"/>
          <w:color w:val="auto"/>
          <w:sz w:val="32"/>
          <w:szCs w:val="32"/>
          <w:lang w:val="en-US" w:eastAsia="zh-CN"/>
        </w:rPr>
        <w:t>根据《中共柳州市委办公室 柳州市人民政府办公室关于印发&lt;柳州市莲花山保护中心（柳州市三门江国家森林公园管理处）职能配置、内设机构和人员编制规定&gt;的通知》(柳办〔2019〕78号），</w:t>
      </w:r>
      <w:r>
        <w:rPr>
          <w:rFonts w:hint="eastAsia" w:ascii="仿宋_GB2312" w:hAnsi="仿宋_GB2312" w:eastAsia="仿宋_GB2312" w:cs="仿宋_GB2312"/>
          <w:color w:val="auto"/>
          <w:sz w:val="32"/>
          <w:szCs w:val="32"/>
          <w:lang w:eastAsia="zh-CN"/>
        </w:rPr>
        <w:t>内设</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个科室，分别为：</w:t>
      </w:r>
      <w:r>
        <w:rPr>
          <w:rFonts w:hint="eastAsia" w:ascii="仿宋_GB2312" w:hAnsi="仿宋_GB2312" w:eastAsia="仿宋_GB2312" w:cs="仿宋_GB2312"/>
          <w:color w:val="auto"/>
          <w:sz w:val="32"/>
          <w:szCs w:val="32"/>
        </w:rPr>
        <w:t>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计划财务科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生态保护修复科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法规事务科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安全防火管理科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旅游规划科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科普宣教科</w:t>
      </w:r>
      <w:r>
        <w:rPr>
          <w:rFonts w:hint="eastAsia" w:ascii="仿宋_GB2312" w:hAnsi="仿宋_GB2312" w:eastAsia="仿宋_GB2312" w:cs="仿宋_GB2312"/>
          <w:color w:val="auto"/>
          <w:sz w:val="32"/>
          <w:szCs w:val="32"/>
          <w:lang w:eastAsia="zh-CN"/>
        </w:rPr>
        <w:t>。</w:t>
      </w:r>
    </w:p>
    <w:p>
      <w:pPr>
        <w:jc w:val="center"/>
      </w:pPr>
    </w:p>
    <w:p>
      <w:pPr>
        <w:jc w:val="both"/>
      </w:pPr>
    </w:p>
    <w:p>
      <w:pPr>
        <w:jc w:val="both"/>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eastAsia="zh-CN"/>
        </w:rPr>
        <w:t>柳州市莲花山保护中心</w:t>
      </w:r>
      <w:r>
        <w:rPr>
          <w:rFonts w:hint="eastAsia" w:ascii="仿宋_GB2312" w:eastAsia="仿宋_GB2312"/>
          <w:b/>
          <w:sz w:val="32"/>
          <w:szCs w:val="32"/>
        </w:rPr>
        <w:t xml:space="preserve"> 2020年部门决算报表</w:t>
      </w:r>
    </w:p>
    <w:p/>
    <w:tbl>
      <w:tblPr>
        <w:tblStyle w:val="5"/>
        <w:tblW w:w="8720" w:type="dxa"/>
        <w:jc w:val="center"/>
        <w:tblLayout w:type="fixed"/>
        <w:tblCellMar>
          <w:top w:w="0" w:type="dxa"/>
          <w:left w:w="108" w:type="dxa"/>
          <w:bottom w:w="0" w:type="dxa"/>
          <w:right w:w="108" w:type="dxa"/>
        </w:tblCellMar>
      </w:tblPr>
      <w:tblGrid>
        <w:gridCol w:w="2895"/>
        <w:gridCol w:w="1215"/>
        <w:gridCol w:w="299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411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6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21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2546.35</w:t>
            </w:r>
          </w:p>
        </w:tc>
        <w:tc>
          <w:tcPr>
            <w:tcW w:w="2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21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2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21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2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21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2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21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2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21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21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108.38</w:t>
            </w: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1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64.38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18.91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2,480.06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195.98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十六、金融支出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6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36.60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6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bookmarkStart w:id="0" w:name="_GoBack" w:colFirst="0" w:colLast="3"/>
          </w:p>
        </w:tc>
        <w:tc>
          <w:tcPr>
            <w:tcW w:w="121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6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bookmarkEnd w:id="0"/>
      <w:tr>
        <w:tblPrEx>
          <w:tblCellMar>
            <w:top w:w="0" w:type="dxa"/>
            <w:left w:w="108" w:type="dxa"/>
            <w:bottom w:w="0" w:type="dxa"/>
            <w:right w:w="108" w:type="dxa"/>
          </w:tblCellMar>
        </w:tblPrEx>
        <w:trPr>
          <w:trHeight w:val="270" w:hRule="atLeast"/>
          <w:jc w:val="center"/>
        </w:trPr>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2,654.73</w:t>
            </w:r>
          </w:p>
        </w:tc>
        <w:tc>
          <w:tcPr>
            <w:tcW w:w="2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6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2795.93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使用非财政拨款结余</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结余分配</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年初结转和结余</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398.56</w:t>
            </w: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257.36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2"/>
                <w:szCs w:val="22"/>
              </w:rPr>
            </w:pPr>
          </w:p>
        </w:tc>
        <w:tc>
          <w:tcPr>
            <w:tcW w:w="121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22"/>
                <w:szCs w:val="22"/>
              </w:rPr>
            </w:pPr>
          </w:p>
        </w:tc>
        <w:tc>
          <w:tcPr>
            <w:tcW w:w="2993" w:type="dxa"/>
            <w:tcBorders>
              <w:top w:val="nil"/>
              <w:left w:val="nil"/>
              <w:bottom w:val="single" w:color="auto" w:sz="4" w:space="0"/>
              <w:right w:val="single" w:color="auto" w:sz="4" w:space="0"/>
            </w:tcBorders>
            <w:vAlign w:val="center"/>
          </w:tcPr>
          <w:p>
            <w:pPr>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总计</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3,053.2</w:t>
            </w:r>
            <w:r>
              <w:rPr>
                <w:rFonts w:hint="eastAsia" w:ascii="宋体" w:hAnsi="宋体" w:cs="宋体"/>
                <w:b/>
                <w:bCs/>
                <w:i w:val="0"/>
                <w:iCs w:val="0"/>
                <w:color w:val="000000"/>
                <w:kern w:val="0"/>
                <w:sz w:val="22"/>
                <w:szCs w:val="22"/>
                <w:u w:val="none"/>
                <w:lang w:val="en-US" w:eastAsia="zh-CN" w:bidi="ar"/>
              </w:rPr>
              <w:t>8</w:t>
            </w:r>
          </w:p>
        </w:tc>
        <w:tc>
          <w:tcPr>
            <w:tcW w:w="2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cs="宋体"/>
                <w:b/>
                <w:bCs/>
                <w:i w:val="0"/>
                <w:iCs w:val="0"/>
                <w:color w:val="000000"/>
                <w:kern w:val="0"/>
                <w:sz w:val="22"/>
                <w:szCs w:val="22"/>
                <w:u w:val="none"/>
                <w:lang w:val="en-US" w:eastAsia="zh-CN" w:bidi="ar"/>
              </w:rPr>
              <w:t>支出</w:t>
            </w:r>
            <w:r>
              <w:rPr>
                <w:rFonts w:hint="eastAsia" w:ascii="宋体" w:hAnsi="宋体" w:eastAsia="宋体" w:cs="宋体"/>
                <w:b/>
                <w:bCs/>
                <w:i w:val="0"/>
                <w:iCs w:val="0"/>
                <w:color w:val="000000"/>
                <w:kern w:val="0"/>
                <w:sz w:val="22"/>
                <w:szCs w:val="22"/>
                <w:u w:val="none"/>
                <w:lang w:val="en-US" w:eastAsia="zh-CN" w:bidi="ar"/>
              </w:rPr>
              <w:t>总计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3053.2</w:t>
            </w:r>
            <w:r>
              <w:rPr>
                <w:rFonts w:hint="eastAsia" w:ascii="宋体" w:hAnsi="宋体" w:cs="宋体"/>
                <w:b/>
                <w:bCs/>
                <w:i w:val="0"/>
                <w:iCs w:val="0"/>
                <w:color w:val="000000"/>
                <w:kern w:val="0"/>
                <w:sz w:val="22"/>
                <w:szCs w:val="22"/>
                <w:u w:val="none"/>
                <w:lang w:val="en-US" w:eastAsia="zh-CN" w:bidi="ar"/>
              </w:rPr>
              <w:t>8</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center"/>
        <w:rPr>
          <w:sz w:val="22"/>
          <w:szCs w:val="22"/>
        </w:rPr>
      </w:pPr>
      <w:r>
        <w:rPr>
          <w:rFonts w:hint="eastAsia"/>
          <w:sz w:val="22"/>
          <w:szCs w:val="22"/>
          <w:lang w:val="en-US" w:eastAsia="zh-CN"/>
        </w:rPr>
        <w:t xml:space="preserve">                                                                                                      </w:t>
      </w:r>
      <w:r>
        <w:rPr>
          <w:rFonts w:hint="eastAsia"/>
          <w:sz w:val="22"/>
          <w:szCs w:val="22"/>
        </w:rPr>
        <w:t xml:space="preserve">单位：万元                     </w:t>
      </w:r>
    </w:p>
    <w:tbl>
      <w:tblPr>
        <w:tblStyle w:val="5"/>
        <w:tblW w:w="4997" w:type="pct"/>
        <w:jc w:val="center"/>
        <w:tblLayout w:type="autofit"/>
        <w:tblCellMar>
          <w:top w:w="0" w:type="dxa"/>
          <w:left w:w="108" w:type="dxa"/>
          <w:bottom w:w="0" w:type="dxa"/>
          <w:right w:w="108" w:type="dxa"/>
        </w:tblCellMar>
      </w:tblPr>
      <w:tblGrid>
        <w:gridCol w:w="1261"/>
        <w:gridCol w:w="2619"/>
        <w:gridCol w:w="1267"/>
        <w:gridCol w:w="1726"/>
        <w:gridCol w:w="1772"/>
        <w:gridCol w:w="1236"/>
        <w:gridCol w:w="1270"/>
        <w:gridCol w:w="1349"/>
        <w:gridCol w:w="1665"/>
      </w:tblGrid>
      <w:tr>
        <w:tblPrEx>
          <w:tblCellMar>
            <w:top w:w="0" w:type="dxa"/>
            <w:left w:w="108" w:type="dxa"/>
            <w:bottom w:w="0" w:type="dxa"/>
            <w:right w:w="108" w:type="dxa"/>
          </w:tblCellMar>
        </w:tblPrEx>
        <w:trPr>
          <w:trHeight w:val="288" w:hRule="atLeast"/>
          <w:jc w:val="center"/>
        </w:trPr>
        <w:tc>
          <w:tcPr>
            <w:tcW w:w="1369" w:type="pct"/>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44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60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436" w:type="pct"/>
            <w:vMerge w:val="restart"/>
            <w:tcBorders>
              <w:top w:val="single" w:color="auto" w:sz="4" w:space="0"/>
              <w:left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lang w:val="en-US" w:eastAsia="zh-CN"/>
              </w:rPr>
              <w:t xml:space="preserve">        </w:t>
            </w:r>
            <w:r>
              <w:rPr>
                <w:rFonts w:hint="eastAsia" w:ascii="宋体" w:hAnsi="宋体" w:cs="Arial"/>
                <w:kern w:val="0"/>
                <w:sz w:val="22"/>
                <w:szCs w:val="22"/>
              </w:rPr>
              <w:t>事业收入</w:t>
            </w:r>
          </w:p>
          <w:p>
            <w:pPr>
              <w:widowControl/>
              <w:jc w:val="left"/>
              <w:rPr>
                <w:rFonts w:ascii="宋体" w:hAnsi="宋体" w:cs="Arial"/>
                <w:color w:val="000000"/>
                <w:kern w:val="0"/>
                <w:sz w:val="22"/>
                <w:szCs w:val="22"/>
              </w:rPr>
            </w:pPr>
          </w:p>
        </w:tc>
        <w:tc>
          <w:tcPr>
            <w:tcW w:w="44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47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58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924" w:type="pct"/>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4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6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436"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5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69" w:type="pct"/>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447" w:type="pct"/>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609" w:type="pct"/>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625" w:type="pct"/>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436" w:type="pct"/>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448" w:type="pct"/>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476" w:type="pct"/>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587" w:type="pct"/>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1369" w:type="pct"/>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2654.73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2546.35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108.38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66.03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66.03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66.03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66.03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48.36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48.36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17.67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17.67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22.70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22.70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22.70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22.70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22.70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22.70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城乡社区支出</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2394.05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2394.05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21202</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30.00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30.00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2120201</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城乡社区规划与管理</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30.00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30.00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21205</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城乡社区环境卫生</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1355.54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1355.54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2120501</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1355.54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1355.54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21299</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其他城乡社区支出</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1008.51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1008.51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2129901</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1008.51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1008.51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农林水支出</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135.35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26.97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108.38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21302</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林业和草原</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135.35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26.97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108.38 </w:t>
            </w:r>
          </w:p>
        </w:tc>
      </w:tr>
      <w:tr>
        <w:tblPrEx>
          <w:tblCellMar>
            <w:top w:w="0" w:type="dxa"/>
            <w:left w:w="108" w:type="dxa"/>
            <w:bottom w:w="0" w:type="dxa"/>
            <w:right w:w="108" w:type="dxa"/>
          </w:tblCellMar>
        </w:tblPrEx>
        <w:trPr>
          <w:trHeight w:val="288"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2130207</w:t>
            </w:r>
          </w:p>
        </w:tc>
        <w:tc>
          <w:tcPr>
            <w:tcW w:w="92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森林资源管理</w:t>
            </w:r>
          </w:p>
        </w:tc>
        <w:tc>
          <w:tcPr>
            <w:tcW w:w="447" w:type="pct"/>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0.27 </w:t>
            </w:r>
          </w:p>
        </w:tc>
        <w:tc>
          <w:tcPr>
            <w:tcW w:w="609" w:type="pct"/>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0.27 </w:t>
            </w:r>
          </w:p>
        </w:tc>
        <w:tc>
          <w:tcPr>
            <w:tcW w:w="625" w:type="pct"/>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2130299</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135.08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26.70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108.38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36.60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36.60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36.60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36.60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445"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924"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4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36.60 </w:t>
            </w:r>
          </w:p>
        </w:tc>
        <w:tc>
          <w:tcPr>
            <w:tcW w:w="609"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36.60 </w:t>
            </w:r>
          </w:p>
        </w:tc>
        <w:tc>
          <w:tcPr>
            <w:tcW w:w="625"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3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48"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476"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587" w:type="pct"/>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bl>
    <w:p/>
    <w:p>
      <w:r>
        <w:rPr>
          <w:rFonts w:hint="eastAsia"/>
        </w:rPr>
        <w:t>注：本表反映部门本年度取得的各项收入情况。</w:t>
      </w:r>
    </w:p>
    <w:p/>
    <w:p/>
    <w:p/>
    <w:p/>
    <w:p/>
    <w:p/>
    <w:p/>
    <w:p/>
    <w:p/>
    <w:p/>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4049" w:type="dxa"/>
        <w:jc w:val="center"/>
        <w:tblLayout w:type="fixed"/>
        <w:tblCellMar>
          <w:top w:w="0" w:type="dxa"/>
          <w:left w:w="108" w:type="dxa"/>
          <w:bottom w:w="0" w:type="dxa"/>
          <w:right w:w="108" w:type="dxa"/>
        </w:tblCellMar>
      </w:tblPr>
      <w:tblGrid>
        <w:gridCol w:w="1180"/>
        <w:gridCol w:w="4060"/>
        <w:gridCol w:w="1260"/>
        <w:gridCol w:w="1410"/>
        <w:gridCol w:w="1365"/>
        <w:gridCol w:w="1620"/>
        <w:gridCol w:w="1485"/>
        <w:gridCol w:w="1669"/>
      </w:tblGrid>
      <w:tr>
        <w:tblPrEx>
          <w:tblCellMar>
            <w:top w:w="0" w:type="dxa"/>
            <w:left w:w="108" w:type="dxa"/>
            <w:bottom w:w="0" w:type="dxa"/>
            <w:right w:w="108" w:type="dxa"/>
          </w:tblCellMar>
        </w:tblPrEx>
        <w:trPr>
          <w:trHeight w:val="288" w:hRule="atLeast"/>
          <w:jc w:val="center"/>
        </w:trPr>
        <w:tc>
          <w:tcPr>
            <w:tcW w:w="52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3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406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5240"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2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41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36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4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669"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5240"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2795.93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461.28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2334.65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64.38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64.38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64.38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64.38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46.70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46.70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17.67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17.67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18.91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18.91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18.91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18.91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18.91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18.91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城乡社区支出</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2480.06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335.46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2144.60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21202</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29.77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29.77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2120201</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城乡社区规划与管理</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29.77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29.77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21205</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城乡社区环境卫生</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1441.78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335.46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1106.32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2120501</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1441.78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335.46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1106.32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21299</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其他城乡社区支出</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1008.51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1008.51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2129901</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1008.51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1008.51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农林水支出</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195.98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5.93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190.05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21302</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林业和草原</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195.98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5.93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190.05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2130207</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森林资源管理</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0.27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0.27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2130299</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195.71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5.93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189.78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4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26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36.60 </w:t>
            </w:r>
          </w:p>
        </w:tc>
        <w:tc>
          <w:tcPr>
            <w:tcW w:w="141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36.60 </w:t>
            </w:r>
          </w:p>
        </w:tc>
        <w:tc>
          <w:tcPr>
            <w:tcW w:w="136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2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36.60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36.60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4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6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36.60 </w:t>
            </w:r>
          </w:p>
        </w:tc>
        <w:tc>
          <w:tcPr>
            <w:tcW w:w="141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36.60 </w:t>
            </w:r>
          </w:p>
        </w:tc>
        <w:tc>
          <w:tcPr>
            <w:tcW w:w="13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48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66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bl>
    <w:p/>
    <w:p>
      <w:r>
        <w:rPr>
          <w:rFonts w:hint="eastAsia"/>
        </w:rPr>
        <w:t>注：本表反映部门本年度各项支出情况。</w:t>
      </w:r>
    </w:p>
    <w:p/>
    <w:p/>
    <w:p/>
    <w:p/>
    <w:p/>
    <w:p/>
    <w:p/>
    <w:p/>
    <w:p/>
    <w:p/>
    <w:p/>
    <w:p/>
    <w:p/>
    <w:p/>
    <w:p/>
    <w:p/>
    <w:p/>
    <w:p/>
    <w:p/>
    <w:p/>
    <w:p/>
    <w:p/>
    <w:p/>
    <w:p>
      <w:pPr>
        <w:ind w:firstLine="3600" w:firstLineChars="1000"/>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ind w:firstLine="2200" w:firstLineChars="1000"/>
        <w:jc w:val="right"/>
        <w:rPr>
          <w:rFonts w:hint="eastAsia" w:ascii="方正小标宋简体" w:hAnsi="宋体" w:eastAsia="方正小标宋简体" w:cs="宋体"/>
          <w:kern w:val="0"/>
          <w:sz w:val="36"/>
          <w:szCs w:val="36"/>
        </w:rPr>
      </w:pPr>
      <w:r>
        <w:rPr>
          <w:rFonts w:hint="eastAsia"/>
          <w:sz w:val="22"/>
          <w:szCs w:val="22"/>
        </w:rPr>
        <w:t>单位：万元</w:t>
      </w:r>
    </w:p>
    <w:tbl>
      <w:tblPr>
        <w:tblStyle w:val="5"/>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792"/>
        <w:gridCol w:w="550"/>
        <w:gridCol w:w="1638"/>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3792"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5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63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90" w:hRule="atLeast"/>
        </w:trPr>
        <w:tc>
          <w:tcPr>
            <w:tcW w:w="3792"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5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w:t>
            </w:r>
          </w:p>
        </w:tc>
        <w:tc>
          <w:tcPr>
            <w:tcW w:w="1638"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2546.3</w:t>
            </w:r>
            <w:r>
              <w:rPr>
                <w:rFonts w:hint="eastAsia" w:ascii="Arial" w:hAnsi="Arial" w:cs="Arial"/>
                <w:i w:val="0"/>
                <w:iCs w:val="0"/>
                <w:color w:val="000000"/>
                <w:kern w:val="0"/>
                <w:sz w:val="20"/>
                <w:szCs w:val="20"/>
                <w:u w:val="none"/>
                <w:lang w:val="en-US" w:eastAsia="zh-CN" w:bidi="ar"/>
              </w:rPr>
              <w:t>5</w:t>
            </w:r>
            <w:r>
              <w:rPr>
                <w:rFonts w:hint="default" w:ascii="Arial" w:hAnsi="Arial" w:eastAsia="宋体" w:cs="Arial"/>
                <w:i w:val="0"/>
                <w:iCs w:val="0"/>
                <w:color w:val="000000"/>
                <w:kern w:val="0"/>
                <w:sz w:val="20"/>
                <w:szCs w:val="20"/>
                <w:u w:val="none"/>
                <w:lang w:val="en-US" w:eastAsia="zh-CN" w:bidi="ar"/>
              </w:rPr>
              <w:t xml:space="preserve">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w:t>
            </w:r>
          </w:p>
        </w:tc>
        <w:tc>
          <w:tcPr>
            <w:tcW w:w="1638"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二、外交支出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34</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三、国有资本经营预算财政拨款</w:t>
            </w:r>
            <w:r>
              <w:rPr>
                <w:rFonts w:hint="eastAsia" w:ascii="宋体" w:hAnsi="宋体" w:cs="宋体"/>
                <w:i w:val="0"/>
                <w:iCs w:val="0"/>
                <w:color w:val="000000"/>
                <w:kern w:val="0"/>
                <w:sz w:val="22"/>
                <w:szCs w:val="22"/>
                <w:u w:val="none"/>
                <w:lang w:val="en-US" w:eastAsia="zh-CN" w:bidi="ar"/>
              </w:rPr>
              <w:t>收入</w:t>
            </w: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w:t>
            </w:r>
          </w:p>
        </w:tc>
        <w:tc>
          <w:tcPr>
            <w:tcW w:w="1638"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三、国防支出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35</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1638"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w:t>
            </w:r>
          </w:p>
        </w:tc>
        <w:tc>
          <w:tcPr>
            <w:tcW w:w="1638"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五、教育支出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w:t>
            </w:r>
          </w:p>
        </w:tc>
        <w:tc>
          <w:tcPr>
            <w:tcW w:w="1638"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38</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w:t>
            </w:r>
          </w:p>
        </w:tc>
        <w:tc>
          <w:tcPr>
            <w:tcW w:w="1638" w:type="dxa"/>
            <w:tcBorders>
              <w:top w:val="nil"/>
              <w:left w:val="nil"/>
              <w:bottom w:val="single" w:color="auto" w:sz="4" w:space="0"/>
              <w:right w:val="single" w:color="auto" w:sz="4" w:space="0"/>
            </w:tcBorders>
            <w:vAlign w:val="bottom"/>
          </w:tcPr>
          <w:p>
            <w:pP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39</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w:t>
            </w:r>
          </w:p>
        </w:tc>
        <w:tc>
          <w:tcPr>
            <w:tcW w:w="1638" w:type="dxa"/>
            <w:tcBorders>
              <w:top w:val="nil"/>
              <w:left w:val="nil"/>
              <w:bottom w:val="single" w:color="auto" w:sz="4" w:space="0"/>
              <w:right w:val="single" w:color="auto" w:sz="4" w:space="0"/>
            </w:tcBorders>
            <w:vAlign w:val="bottom"/>
          </w:tcPr>
          <w:p>
            <w:pP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40</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64.38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64.38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w:t>
            </w:r>
          </w:p>
        </w:tc>
        <w:tc>
          <w:tcPr>
            <w:tcW w:w="1638" w:type="dxa"/>
            <w:tcBorders>
              <w:top w:val="nil"/>
              <w:left w:val="nil"/>
              <w:bottom w:val="single" w:color="auto" w:sz="4" w:space="0"/>
              <w:right w:val="single" w:color="auto" w:sz="4" w:space="0"/>
            </w:tcBorders>
            <w:vAlign w:val="bottom"/>
          </w:tcPr>
          <w:p>
            <w:pP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18.91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18.91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w:t>
            </w:r>
          </w:p>
        </w:tc>
        <w:tc>
          <w:tcPr>
            <w:tcW w:w="1638" w:type="dxa"/>
            <w:tcBorders>
              <w:top w:val="nil"/>
              <w:left w:val="nil"/>
              <w:bottom w:val="single" w:color="auto" w:sz="4" w:space="0"/>
              <w:right w:val="single" w:color="auto" w:sz="4" w:space="0"/>
            </w:tcBorders>
            <w:vAlign w:val="bottom"/>
          </w:tcPr>
          <w:p>
            <w:pP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42</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w:t>
            </w:r>
          </w:p>
        </w:tc>
        <w:tc>
          <w:tcPr>
            <w:tcW w:w="1638" w:type="dxa"/>
            <w:tcBorders>
              <w:top w:val="nil"/>
              <w:left w:val="nil"/>
              <w:bottom w:val="single" w:color="auto" w:sz="4" w:space="0"/>
              <w:right w:val="single" w:color="auto" w:sz="4" w:space="0"/>
            </w:tcBorders>
            <w:vAlign w:val="bottom"/>
          </w:tcPr>
          <w:p>
            <w:pP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43</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2480.06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2480.06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1638" w:type="dxa"/>
            <w:tcBorders>
              <w:top w:val="nil"/>
              <w:left w:val="nil"/>
              <w:bottom w:val="single" w:color="auto" w:sz="4" w:space="0"/>
              <w:right w:val="single" w:color="auto" w:sz="4" w:space="0"/>
            </w:tcBorders>
            <w:vAlign w:val="bottom"/>
          </w:tcPr>
          <w:p>
            <w:pP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44</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75.66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75.66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1638" w:type="dxa"/>
            <w:tcBorders>
              <w:top w:val="nil"/>
              <w:left w:val="nil"/>
              <w:bottom w:val="single" w:color="auto" w:sz="4" w:space="0"/>
              <w:right w:val="single" w:color="auto" w:sz="4" w:space="0"/>
            </w:tcBorders>
            <w:vAlign w:val="bottom"/>
          </w:tcPr>
          <w:p>
            <w:pP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45</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w:t>
            </w:r>
          </w:p>
        </w:tc>
        <w:tc>
          <w:tcPr>
            <w:tcW w:w="1638" w:type="dxa"/>
            <w:tcBorders>
              <w:top w:val="nil"/>
              <w:left w:val="nil"/>
              <w:bottom w:val="single" w:color="auto" w:sz="4" w:space="0"/>
              <w:right w:val="single" w:color="auto" w:sz="4" w:space="0"/>
            </w:tcBorders>
            <w:vAlign w:val="bottom"/>
          </w:tcPr>
          <w:p>
            <w:pP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46</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15</w:t>
            </w:r>
          </w:p>
        </w:tc>
        <w:tc>
          <w:tcPr>
            <w:tcW w:w="1638" w:type="dxa"/>
            <w:tcBorders>
              <w:top w:val="nil"/>
              <w:left w:val="nil"/>
              <w:bottom w:val="single" w:color="auto" w:sz="4" w:space="0"/>
              <w:right w:val="single" w:color="auto" w:sz="4" w:space="0"/>
            </w:tcBorders>
            <w:vAlign w:val="bottom"/>
          </w:tcPr>
          <w:p>
            <w:pP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47</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16</w:t>
            </w:r>
          </w:p>
        </w:tc>
        <w:tc>
          <w:tcPr>
            <w:tcW w:w="1638" w:type="dxa"/>
            <w:tcBorders>
              <w:top w:val="nil"/>
              <w:left w:val="nil"/>
              <w:bottom w:val="single" w:color="auto" w:sz="4" w:space="0"/>
              <w:right w:val="single" w:color="auto" w:sz="4" w:space="0"/>
            </w:tcBorders>
            <w:vAlign w:val="bottom"/>
          </w:tcPr>
          <w:p>
            <w:pP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十六、金融支出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48</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w:t>
            </w:r>
          </w:p>
        </w:tc>
        <w:tc>
          <w:tcPr>
            <w:tcW w:w="1638" w:type="dxa"/>
            <w:tcBorders>
              <w:top w:val="nil"/>
              <w:left w:val="nil"/>
              <w:bottom w:val="single" w:color="auto" w:sz="4" w:space="0"/>
              <w:right w:val="single" w:color="auto" w:sz="4" w:space="0"/>
            </w:tcBorders>
            <w:vAlign w:val="bottom"/>
          </w:tcPr>
          <w:p>
            <w:pP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49</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w:t>
            </w:r>
          </w:p>
        </w:tc>
        <w:tc>
          <w:tcPr>
            <w:tcW w:w="1638" w:type="dxa"/>
            <w:tcBorders>
              <w:top w:val="nil"/>
              <w:left w:val="nil"/>
              <w:bottom w:val="single" w:color="auto" w:sz="4" w:space="0"/>
              <w:right w:val="single" w:color="auto" w:sz="4" w:space="0"/>
            </w:tcBorders>
            <w:vAlign w:val="bottom"/>
          </w:tcPr>
          <w:p>
            <w:pP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5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w:t>
            </w:r>
          </w:p>
        </w:tc>
        <w:tc>
          <w:tcPr>
            <w:tcW w:w="1638" w:type="dxa"/>
            <w:tcBorders>
              <w:top w:val="single" w:color="auto" w:sz="4" w:space="0"/>
              <w:left w:val="nil"/>
              <w:bottom w:val="single" w:color="auto" w:sz="4" w:space="0"/>
              <w:right w:val="single" w:color="auto" w:sz="4" w:space="0"/>
            </w:tcBorders>
            <w:vAlign w:val="bottom"/>
          </w:tcPr>
          <w:p>
            <w:pPr>
              <w:rPr>
                <w:rFonts w:hint="eastAsia" w:ascii="宋体" w:hAnsi="宋体" w:cs="Arial"/>
                <w:color w:val="000000"/>
                <w:kern w:val="0"/>
                <w:sz w:val="22"/>
                <w:szCs w:val="22"/>
              </w:rPr>
            </w:pPr>
          </w:p>
        </w:tc>
        <w:tc>
          <w:tcPr>
            <w:tcW w:w="33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68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51</w:t>
            </w:r>
          </w:p>
        </w:tc>
        <w:tc>
          <w:tcPr>
            <w:tcW w:w="1267"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36.60 </w:t>
            </w:r>
          </w:p>
        </w:tc>
        <w:tc>
          <w:tcPr>
            <w:tcW w:w="1149"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36.60 </w:t>
            </w:r>
          </w:p>
        </w:tc>
        <w:tc>
          <w:tcPr>
            <w:tcW w:w="1316"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w:t>
            </w:r>
          </w:p>
        </w:tc>
        <w:tc>
          <w:tcPr>
            <w:tcW w:w="1638" w:type="dxa"/>
            <w:tcBorders>
              <w:top w:val="nil"/>
              <w:left w:val="nil"/>
              <w:bottom w:val="single" w:color="auto" w:sz="4" w:space="0"/>
              <w:right w:val="single" w:color="auto" w:sz="4" w:space="0"/>
            </w:tcBorders>
            <w:vAlign w:val="bottom"/>
          </w:tcPr>
          <w:p>
            <w:pP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hint="eastAsia"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w:t>
            </w:r>
          </w:p>
        </w:tc>
        <w:tc>
          <w:tcPr>
            <w:tcW w:w="1638" w:type="dxa"/>
            <w:tcBorders>
              <w:top w:val="nil"/>
              <w:left w:val="nil"/>
              <w:bottom w:val="single" w:color="auto" w:sz="4" w:space="0"/>
              <w:right w:val="single" w:color="auto" w:sz="4" w:space="0"/>
            </w:tcBorders>
            <w:vAlign w:val="bottom"/>
          </w:tcPr>
          <w:p>
            <w:pP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53</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w:t>
            </w:r>
          </w:p>
        </w:tc>
        <w:tc>
          <w:tcPr>
            <w:tcW w:w="1638"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54</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w:t>
            </w:r>
          </w:p>
        </w:tc>
        <w:tc>
          <w:tcPr>
            <w:tcW w:w="1638"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55</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1638"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56</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jc w:val="center"/>
              <w:rPr>
                <w:rFonts w:ascii="宋体" w:hAnsi="宋体" w:cs="Arial"/>
                <w:color w:val="000000"/>
                <w:kern w:val="0"/>
                <w:sz w:val="22"/>
                <w:szCs w:val="22"/>
              </w:rPr>
            </w:pP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w:t>
            </w:r>
          </w:p>
        </w:tc>
        <w:tc>
          <w:tcPr>
            <w:tcW w:w="1638" w:type="dxa"/>
            <w:tcBorders>
              <w:top w:val="nil"/>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57</w:t>
            </w:r>
          </w:p>
        </w:tc>
        <w:tc>
          <w:tcPr>
            <w:tcW w:w="12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22"/>
                <w:szCs w:val="22"/>
              </w:rPr>
            </w:pPr>
          </w:p>
        </w:tc>
        <w:tc>
          <w:tcPr>
            <w:tcW w:w="5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26</w:t>
            </w:r>
          </w:p>
        </w:tc>
        <w:tc>
          <w:tcPr>
            <w:tcW w:w="1638" w:type="dxa"/>
            <w:tcBorders>
              <w:top w:val="single" w:color="auto" w:sz="4" w:space="0"/>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33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8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58</w:t>
            </w:r>
          </w:p>
        </w:tc>
        <w:tc>
          <w:tcPr>
            <w:tcW w:w="1267"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1149"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pPr>
            <w:r>
              <w:rPr>
                <w:rFonts w:hint="default" w:ascii="Arial" w:hAnsi="Arial" w:eastAsia="宋体" w:cs="Arial"/>
                <w:i w:val="0"/>
                <w:iCs w:val="0"/>
                <w:color w:val="000000"/>
                <w:kern w:val="0"/>
                <w:sz w:val="20"/>
                <w:szCs w:val="20"/>
                <w:u w:val="none"/>
                <w:lang w:val="en-US" w:eastAsia="zh-CN" w:bidi="ar"/>
              </w:rPr>
              <w:t xml:space="preserve">0.00 </w:t>
            </w:r>
          </w:p>
        </w:tc>
        <w:tc>
          <w:tcPr>
            <w:tcW w:w="1316"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27</w:t>
            </w:r>
          </w:p>
        </w:tc>
        <w:tc>
          <w:tcPr>
            <w:tcW w:w="1638"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2546.3</w:t>
            </w:r>
            <w:r>
              <w:rPr>
                <w:rFonts w:hint="eastAsia" w:ascii="Arial" w:hAnsi="Arial" w:cs="Arial"/>
                <w:i w:val="0"/>
                <w:iCs w:val="0"/>
                <w:color w:val="000000"/>
                <w:kern w:val="0"/>
                <w:sz w:val="20"/>
                <w:szCs w:val="20"/>
                <w:u w:val="none"/>
                <w:lang w:val="en-US" w:eastAsia="zh-CN" w:bidi="ar"/>
              </w:rPr>
              <w:t>5</w:t>
            </w:r>
            <w:r>
              <w:rPr>
                <w:rFonts w:hint="default" w:ascii="Arial" w:hAnsi="Arial" w:eastAsia="宋体" w:cs="Arial"/>
                <w:i w:val="0"/>
                <w:iCs w:val="0"/>
                <w:color w:val="000000"/>
                <w:kern w:val="0"/>
                <w:sz w:val="20"/>
                <w:szCs w:val="20"/>
                <w:u w:val="none"/>
                <w:lang w:val="en-US" w:eastAsia="zh-CN" w:bidi="ar"/>
              </w:rPr>
              <w:t xml:space="preserve">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rPr>
            </w:pPr>
            <w:r>
              <w:rPr>
                <w:rFonts w:hint="eastAsia" w:ascii="宋体" w:hAnsi="宋体" w:cs="宋体"/>
                <w:i w:val="0"/>
                <w:iCs w:val="0"/>
                <w:color w:val="000000"/>
                <w:kern w:val="0"/>
                <w:sz w:val="22"/>
                <w:szCs w:val="22"/>
                <w:u w:val="none"/>
                <w:lang w:val="en-US" w:eastAsia="zh-CN" w:bidi="ar"/>
              </w:rPr>
              <w:t>59</w:t>
            </w:r>
          </w:p>
        </w:tc>
        <w:tc>
          <w:tcPr>
            <w:tcW w:w="1267"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2675.61 </w:t>
            </w:r>
          </w:p>
        </w:tc>
        <w:tc>
          <w:tcPr>
            <w:tcW w:w="1149"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pPr>
            <w:r>
              <w:rPr>
                <w:rFonts w:hint="default" w:ascii="Arial" w:hAnsi="Arial" w:eastAsia="宋体" w:cs="Arial"/>
                <w:i w:val="0"/>
                <w:iCs w:val="0"/>
                <w:color w:val="000000"/>
                <w:kern w:val="0"/>
                <w:sz w:val="20"/>
                <w:szCs w:val="20"/>
                <w:u w:val="none"/>
                <w:lang w:val="en-US" w:eastAsia="zh-CN" w:bidi="ar"/>
              </w:rPr>
              <w:t xml:space="preserve">2675.61 </w:t>
            </w:r>
          </w:p>
        </w:tc>
        <w:tc>
          <w:tcPr>
            <w:tcW w:w="1316"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28</w:t>
            </w:r>
          </w:p>
        </w:tc>
        <w:tc>
          <w:tcPr>
            <w:tcW w:w="1638"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276.66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rPr>
            </w:pPr>
            <w:r>
              <w:rPr>
                <w:rFonts w:hint="eastAsia" w:ascii="宋体" w:hAnsi="宋体" w:cs="宋体"/>
                <w:i w:val="0"/>
                <w:iCs w:val="0"/>
                <w:color w:val="000000"/>
                <w:kern w:val="0"/>
                <w:sz w:val="22"/>
                <w:szCs w:val="22"/>
                <w:u w:val="none"/>
                <w:lang w:val="en-US" w:eastAsia="zh-CN" w:bidi="ar"/>
              </w:rPr>
              <w:t>60</w:t>
            </w:r>
          </w:p>
        </w:tc>
        <w:tc>
          <w:tcPr>
            <w:tcW w:w="1267"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147.41 </w:t>
            </w:r>
          </w:p>
        </w:tc>
        <w:tc>
          <w:tcPr>
            <w:tcW w:w="1149"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pPr>
            <w:r>
              <w:rPr>
                <w:rFonts w:hint="default" w:ascii="Arial" w:hAnsi="Arial" w:eastAsia="宋体" w:cs="Arial"/>
                <w:i w:val="0"/>
                <w:iCs w:val="0"/>
                <w:color w:val="000000"/>
                <w:kern w:val="0"/>
                <w:sz w:val="20"/>
                <w:szCs w:val="20"/>
                <w:u w:val="none"/>
                <w:lang w:val="en-US" w:eastAsia="zh-CN" w:bidi="ar"/>
              </w:rPr>
              <w:t xml:space="preserve">147.41 </w:t>
            </w:r>
          </w:p>
        </w:tc>
        <w:tc>
          <w:tcPr>
            <w:tcW w:w="1316"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pPr>
            <w:r>
              <w:rPr>
                <w:rFonts w:hint="default" w:ascii="Arial" w:hAnsi="Arial" w:eastAsia="宋体" w:cs="Arial"/>
                <w:i w:val="0"/>
                <w:iCs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w:t>
            </w:r>
          </w:p>
        </w:tc>
        <w:tc>
          <w:tcPr>
            <w:tcW w:w="1638"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276.66 </w:t>
            </w:r>
          </w:p>
        </w:tc>
        <w:tc>
          <w:tcPr>
            <w:tcW w:w="3372"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rPr>
            </w:pPr>
            <w:r>
              <w:rPr>
                <w:rFonts w:hint="eastAsia" w:ascii="宋体" w:hAnsi="宋体" w:cs="宋体"/>
                <w:i w:val="0"/>
                <w:iCs w:val="0"/>
                <w:color w:val="000000"/>
                <w:kern w:val="0"/>
                <w:sz w:val="22"/>
                <w:szCs w:val="22"/>
                <w:u w:val="none"/>
                <w:lang w:val="en-US" w:eastAsia="zh-CN" w:bidi="ar"/>
              </w:rPr>
              <w:t>61</w:t>
            </w:r>
          </w:p>
        </w:tc>
        <w:tc>
          <w:tcPr>
            <w:tcW w:w="1267" w:type="dxa"/>
            <w:tcBorders>
              <w:top w:val="single" w:color="auto" w:sz="4" w:space="0"/>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vAlign w:val="bottom"/>
          </w:tcPr>
          <w:p/>
        </w:tc>
        <w:tc>
          <w:tcPr>
            <w:tcW w:w="1316" w:type="dxa"/>
            <w:tcBorders>
              <w:top w:val="single" w:color="auto" w:sz="4" w:space="0"/>
              <w:left w:val="nil"/>
              <w:bottom w:val="single" w:color="auto" w:sz="4" w:space="0"/>
              <w:right w:val="single" w:color="auto" w:sz="4" w:space="0"/>
            </w:tcBorders>
            <w:vAlign w:val="bottom"/>
          </w:tcP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w:t>
            </w:r>
          </w:p>
        </w:tc>
        <w:tc>
          <w:tcPr>
            <w:tcW w:w="1638"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3372"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rPr>
            </w:pPr>
            <w:r>
              <w:rPr>
                <w:rFonts w:hint="eastAsia" w:ascii="宋体" w:hAnsi="宋体" w:cs="宋体"/>
                <w:i w:val="0"/>
                <w:iCs w:val="0"/>
                <w:color w:val="000000"/>
                <w:kern w:val="0"/>
                <w:sz w:val="22"/>
                <w:szCs w:val="22"/>
                <w:u w:val="none"/>
                <w:lang w:val="en-US" w:eastAsia="zh-CN" w:bidi="ar"/>
              </w:rPr>
              <w:t>62</w:t>
            </w:r>
          </w:p>
        </w:tc>
        <w:tc>
          <w:tcPr>
            <w:tcW w:w="1267" w:type="dxa"/>
            <w:tcBorders>
              <w:top w:val="single" w:color="auto" w:sz="4" w:space="0"/>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vAlign w:val="bottom"/>
          </w:tcPr>
          <w:p/>
        </w:tc>
        <w:tc>
          <w:tcPr>
            <w:tcW w:w="1316" w:type="dxa"/>
            <w:tcBorders>
              <w:top w:val="single" w:color="auto" w:sz="4" w:space="0"/>
              <w:left w:val="nil"/>
              <w:bottom w:val="single" w:color="auto" w:sz="4" w:space="0"/>
              <w:right w:val="single" w:color="auto" w:sz="4" w:space="0"/>
            </w:tcBorders>
            <w:vAlign w:val="bottom"/>
          </w:tcP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w:t>
            </w:r>
          </w:p>
        </w:tc>
        <w:tc>
          <w:tcPr>
            <w:tcW w:w="1638"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0.00 </w:t>
            </w:r>
          </w:p>
        </w:tc>
        <w:tc>
          <w:tcPr>
            <w:tcW w:w="3372"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rPr>
            </w:pPr>
            <w:r>
              <w:rPr>
                <w:rFonts w:hint="eastAsia" w:ascii="宋体" w:hAnsi="宋体" w:cs="宋体"/>
                <w:i w:val="0"/>
                <w:iCs w:val="0"/>
                <w:color w:val="000000"/>
                <w:kern w:val="0"/>
                <w:sz w:val="22"/>
                <w:szCs w:val="22"/>
                <w:u w:val="none"/>
                <w:lang w:val="en-US" w:eastAsia="zh-CN" w:bidi="ar"/>
              </w:rPr>
              <w:t>63</w:t>
            </w:r>
          </w:p>
        </w:tc>
        <w:tc>
          <w:tcPr>
            <w:tcW w:w="1267" w:type="dxa"/>
            <w:tcBorders>
              <w:top w:val="single" w:color="auto" w:sz="4" w:space="0"/>
              <w:left w:val="nil"/>
              <w:bottom w:val="single" w:color="auto" w:sz="4" w:space="0"/>
              <w:right w:val="single" w:color="auto" w:sz="4" w:space="0"/>
            </w:tcBorders>
            <w:vAlign w:val="bottom"/>
          </w:tcPr>
          <w:p>
            <w:pPr>
              <w:rPr>
                <w:rFonts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vAlign w:val="bottom"/>
          </w:tcPr>
          <w:p/>
        </w:tc>
        <w:tc>
          <w:tcPr>
            <w:tcW w:w="1316" w:type="dxa"/>
            <w:tcBorders>
              <w:top w:val="single" w:color="auto" w:sz="4" w:space="0"/>
              <w:left w:val="nil"/>
              <w:bottom w:val="single" w:color="auto" w:sz="4" w:space="0"/>
              <w:right w:val="single" w:color="auto" w:sz="4" w:space="0"/>
            </w:tcBorders>
            <w:vAlign w:val="bottom"/>
          </w:tcPr>
          <w:p/>
        </w:tc>
      </w:tr>
      <w:tr>
        <w:tblPrEx>
          <w:tblCellMar>
            <w:top w:w="0" w:type="dxa"/>
            <w:left w:w="108" w:type="dxa"/>
            <w:bottom w:w="0" w:type="dxa"/>
            <w:right w:w="108" w:type="dxa"/>
          </w:tblCellMar>
        </w:tblPrEx>
        <w:trPr>
          <w:trHeight w:val="288" w:hRule="atLeast"/>
        </w:trPr>
        <w:tc>
          <w:tcPr>
            <w:tcW w:w="379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总计</w:t>
            </w:r>
          </w:p>
        </w:tc>
        <w:tc>
          <w:tcPr>
            <w:tcW w:w="5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w:t>
            </w:r>
          </w:p>
        </w:tc>
        <w:tc>
          <w:tcPr>
            <w:tcW w:w="1638"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2823.02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总计</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rPr>
            </w:pPr>
            <w:r>
              <w:rPr>
                <w:rFonts w:hint="eastAsia" w:ascii="宋体" w:hAnsi="宋体" w:cs="宋体"/>
                <w:i w:val="0"/>
                <w:iCs w:val="0"/>
                <w:color w:val="000000"/>
                <w:kern w:val="0"/>
                <w:sz w:val="22"/>
                <w:szCs w:val="22"/>
                <w:u w:val="none"/>
                <w:lang w:val="en-US" w:eastAsia="zh-CN" w:bidi="ar"/>
              </w:rPr>
              <w:t>64</w:t>
            </w:r>
          </w:p>
        </w:tc>
        <w:tc>
          <w:tcPr>
            <w:tcW w:w="1267"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Arial"/>
                <w:color w:val="000000"/>
                <w:kern w:val="0"/>
                <w:sz w:val="22"/>
                <w:szCs w:val="22"/>
              </w:rPr>
            </w:pPr>
            <w:r>
              <w:rPr>
                <w:rFonts w:hint="default" w:ascii="Arial" w:hAnsi="Arial" w:eastAsia="宋体" w:cs="Arial"/>
                <w:i w:val="0"/>
                <w:iCs w:val="0"/>
                <w:color w:val="000000"/>
                <w:kern w:val="0"/>
                <w:sz w:val="20"/>
                <w:szCs w:val="20"/>
                <w:u w:val="none"/>
                <w:lang w:val="en-US" w:eastAsia="zh-CN" w:bidi="ar"/>
              </w:rPr>
              <w:t xml:space="preserve">2823.02 </w:t>
            </w:r>
          </w:p>
        </w:tc>
        <w:tc>
          <w:tcPr>
            <w:tcW w:w="1149"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pPr>
            <w:r>
              <w:rPr>
                <w:rFonts w:hint="default" w:ascii="Arial" w:hAnsi="Arial" w:eastAsia="宋体" w:cs="Arial"/>
                <w:i w:val="0"/>
                <w:iCs w:val="0"/>
                <w:color w:val="000000"/>
                <w:kern w:val="0"/>
                <w:sz w:val="20"/>
                <w:szCs w:val="20"/>
                <w:u w:val="none"/>
                <w:lang w:val="en-US" w:eastAsia="zh-CN" w:bidi="ar"/>
              </w:rPr>
              <w:t xml:space="preserve">2823.02 </w:t>
            </w:r>
          </w:p>
        </w:tc>
        <w:tc>
          <w:tcPr>
            <w:tcW w:w="1316"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pPr>
            <w:r>
              <w:rPr>
                <w:rFonts w:hint="default" w:ascii="Arial" w:hAnsi="Arial" w:eastAsia="宋体" w:cs="Arial"/>
                <w:i w:val="0"/>
                <w:iCs w:val="0"/>
                <w:color w:val="000000"/>
                <w:kern w:val="0"/>
                <w:sz w:val="20"/>
                <w:szCs w:val="20"/>
                <w:u w:val="none"/>
                <w:lang w:val="en-US" w:eastAsia="zh-CN" w:bidi="ar"/>
              </w:rPr>
              <w:t xml:space="preserve">0.00 </w:t>
            </w:r>
          </w:p>
        </w:tc>
      </w:tr>
    </w:tbl>
    <w:p>
      <w:pPr>
        <w:jc w:val="right"/>
        <w:rPr>
          <w:sz w:val="22"/>
          <w:szCs w:val="22"/>
        </w:rPr>
      </w:pPr>
    </w:p>
    <w:p>
      <w:r>
        <w:rPr>
          <w:rFonts w:hint="eastAsia"/>
        </w:rPr>
        <w:t>注：本表反映部门本年度一般公共预算财政拨款和政府性基金预算财政拨款的总收支和年末结转结余情况。</w:t>
      </w:r>
    </w:p>
    <w:p/>
    <w:p/>
    <w:p/>
    <w:p/>
    <w:p/>
    <w:p/>
    <w:p/>
    <w:p/>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color w:val="auto"/>
          <w:kern w:val="0"/>
          <w:sz w:val="36"/>
          <w:szCs w:val="36"/>
        </w:rPr>
        <w:t>表五</w:t>
      </w:r>
      <w:r>
        <w:rPr>
          <w:rFonts w:hint="eastAsia" w:ascii="方正小标宋简体" w:hAnsi="宋体" w:eastAsia="方正小标宋简体" w:cs="宋体"/>
          <w:kern w:val="0"/>
          <w:sz w:val="36"/>
          <w:szCs w:val="36"/>
        </w:rPr>
        <w:t>：</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bCs/>
                <w:i w:val="0"/>
                <w:iCs w:val="0"/>
                <w:color w:val="000000"/>
                <w:kern w:val="0"/>
                <w:sz w:val="22"/>
                <w:szCs w:val="22"/>
                <w:u w:val="none"/>
                <w:lang w:val="en-US" w:eastAsia="zh-CN" w:bidi="ar"/>
              </w:rPr>
              <w:t>2,675.61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bCs/>
                <w:i w:val="0"/>
                <w:iCs w:val="0"/>
                <w:color w:val="000000"/>
                <w:kern w:val="0"/>
                <w:sz w:val="22"/>
                <w:szCs w:val="22"/>
                <w:u w:val="none"/>
                <w:lang w:val="en-US" w:eastAsia="zh-CN" w:bidi="ar"/>
              </w:rPr>
              <w:t>460.27</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bCs/>
                <w:i w:val="0"/>
                <w:iCs w:val="0"/>
                <w:color w:val="000000"/>
                <w:kern w:val="0"/>
                <w:sz w:val="22"/>
                <w:szCs w:val="22"/>
                <w:u w:val="none"/>
                <w:lang w:val="en-US" w:eastAsia="zh-CN" w:bidi="ar"/>
              </w:rPr>
              <w:t>2,215.34</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64.38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64.38</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64.38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64.38</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46.70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46.70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2080506</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17.67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17.67</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18.91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18.91</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21011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18.91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18.91</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2101102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18.91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18.91</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城乡社区支出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FF0000"/>
                <w:kern w:val="0"/>
                <w:sz w:val="20"/>
                <w:szCs w:val="20"/>
              </w:rPr>
            </w:pPr>
            <w:r>
              <w:rPr>
                <w:rFonts w:hint="eastAsia" w:ascii="宋体" w:hAnsi="宋体" w:eastAsia="宋体" w:cs="宋体"/>
                <w:i w:val="0"/>
                <w:iCs w:val="0"/>
                <w:color w:val="000000"/>
                <w:kern w:val="0"/>
                <w:sz w:val="22"/>
                <w:szCs w:val="22"/>
                <w:u w:val="none"/>
                <w:lang w:val="en-US" w:eastAsia="zh-CN" w:bidi="ar"/>
              </w:rPr>
              <w:t>2,480.06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FF0000"/>
                <w:kern w:val="0"/>
                <w:sz w:val="20"/>
                <w:szCs w:val="20"/>
              </w:rPr>
            </w:pPr>
            <w:r>
              <w:rPr>
                <w:rFonts w:hint="eastAsia" w:ascii="宋体" w:hAnsi="宋体" w:eastAsia="宋体" w:cs="宋体"/>
                <w:i w:val="0"/>
                <w:iCs w:val="0"/>
                <w:color w:val="000000"/>
                <w:kern w:val="0"/>
                <w:sz w:val="22"/>
                <w:szCs w:val="22"/>
                <w:u w:val="none"/>
                <w:lang w:val="en-US" w:eastAsia="zh-CN" w:bidi="ar"/>
              </w:rPr>
              <w:t>335.46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FF0000"/>
                <w:kern w:val="0"/>
                <w:sz w:val="20"/>
                <w:szCs w:val="20"/>
              </w:rPr>
            </w:pPr>
            <w:r>
              <w:rPr>
                <w:rFonts w:hint="eastAsia" w:ascii="宋体" w:hAnsi="宋体" w:eastAsia="宋体" w:cs="宋体"/>
                <w:i w:val="0"/>
                <w:iCs w:val="0"/>
                <w:color w:val="000000"/>
                <w:kern w:val="0"/>
                <w:sz w:val="22"/>
                <w:szCs w:val="22"/>
                <w:u w:val="none"/>
                <w:lang w:val="en-US" w:eastAsia="zh-CN" w:bidi="ar"/>
              </w:rPr>
              <w:t>2,144.60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21202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29.77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29.77</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2120201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城乡社区规划与管理</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29.77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29.77</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21205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城乡社区环境卫生</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1,441.78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335.46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1,106.32</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2120501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1,441.78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335.46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1,106.32</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21299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其他城乡社区支出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1,008.51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1,008.51</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2129901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1,008.51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1,008.51</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213</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农林水支出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75.66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4.92</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70.75</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21302</w:t>
            </w:r>
          </w:p>
        </w:tc>
        <w:tc>
          <w:tcPr>
            <w:tcW w:w="30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林业和草原</w:t>
            </w:r>
          </w:p>
        </w:tc>
        <w:tc>
          <w:tcPr>
            <w:tcW w:w="2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75.66</w:t>
            </w:r>
          </w:p>
        </w:tc>
        <w:tc>
          <w:tcPr>
            <w:tcW w:w="2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4.92</w:t>
            </w:r>
          </w:p>
        </w:tc>
        <w:tc>
          <w:tcPr>
            <w:tcW w:w="33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70.75</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2130207</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森林资源管理</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0.27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0.27</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2130299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75.39</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4.92</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70.48</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36.60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36.60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30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2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36.60</w:t>
            </w:r>
          </w:p>
        </w:tc>
        <w:tc>
          <w:tcPr>
            <w:tcW w:w="2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36.60</w:t>
            </w:r>
          </w:p>
        </w:tc>
        <w:tc>
          <w:tcPr>
            <w:tcW w:w="33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99"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36.60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36.60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bl>
    <w:p/>
    <w:p>
      <w:r>
        <w:rPr>
          <w:rFonts w:hint="eastAsia"/>
        </w:rPr>
        <w:t>注：本表反映部门本年度一般公共预算财政拨款实际支出情况。</w:t>
      </w:r>
    </w:p>
    <w:p/>
    <w:p/>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9424" w:type="dxa"/>
        <w:tblInd w:w="-180" w:type="dxa"/>
        <w:tblLayout w:type="fixed"/>
        <w:tblCellMar>
          <w:top w:w="0" w:type="dxa"/>
          <w:left w:w="108" w:type="dxa"/>
          <w:bottom w:w="0" w:type="dxa"/>
          <w:right w:w="108" w:type="dxa"/>
        </w:tblCellMar>
      </w:tblPr>
      <w:tblGrid>
        <w:gridCol w:w="1189"/>
        <w:gridCol w:w="2561"/>
        <w:gridCol w:w="1510"/>
        <w:gridCol w:w="849"/>
        <w:gridCol w:w="1710"/>
        <w:gridCol w:w="1605"/>
      </w:tblGrid>
      <w:tr>
        <w:tblPrEx>
          <w:tblCellMar>
            <w:top w:w="0" w:type="dxa"/>
            <w:left w:w="108" w:type="dxa"/>
            <w:bottom w:w="0" w:type="dxa"/>
            <w:right w:w="108" w:type="dxa"/>
          </w:tblCellMar>
        </w:tblPrEx>
        <w:trPr>
          <w:trHeight w:val="564" w:hRule="atLeast"/>
        </w:trPr>
        <w:tc>
          <w:tcPr>
            <w:tcW w:w="52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1036" w:hRule="atLeast"/>
        </w:trPr>
        <w:tc>
          <w:tcPr>
            <w:tcW w:w="1189"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56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工资福利支出</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435.95</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商品和服务支出</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19.84</w:t>
            </w:r>
          </w:p>
        </w:tc>
      </w:tr>
      <w:tr>
        <w:tblPrEx>
          <w:tblCellMar>
            <w:top w:w="0" w:type="dxa"/>
            <w:left w:w="108" w:type="dxa"/>
            <w:bottom w:w="0" w:type="dxa"/>
            <w:right w:w="108" w:type="dxa"/>
          </w:tblCellMar>
        </w:tblPrEx>
        <w:trPr>
          <w:trHeight w:val="264"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30101</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153.09</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30201</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3.82</w:t>
            </w:r>
          </w:p>
        </w:tc>
      </w:tr>
      <w:tr>
        <w:tblPrEx>
          <w:tblCellMar>
            <w:top w:w="0" w:type="dxa"/>
            <w:left w:w="108" w:type="dxa"/>
            <w:bottom w:w="0" w:type="dxa"/>
            <w:right w:w="108" w:type="dxa"/>
          </w:tblCellMar>
        </w:tblPrEx>
        <w:trPr>
          <w:trHeight w:val="264"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30102</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5.89</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30202</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0.11</w:t>
            </w:r>
          </w:p>
        </w:tc>
      </w:tr>
      <w:tr>
        <w:tblPrEx>
          <w:tblCellMar>
            <w:top w:w="0" w:type="dxa"/>
            <w:left w:w="108" w:type="dxa"/>
            <w:bottom w:w="0" w:type="dxa"/>
            <w:right w:w="108" w:type="dxa"/>
          </w:tblCellMar>
        </w:tblPrEx>
        <w:trPr>
          <w:trHeight w:val="264"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30103</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奖金</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30203</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1.50</w:t>
            </w:r>
          </w:p>
        </w:tc>
      </w:tr>
      <w:tr>
        <w:tblPrEx>
          <w:tblCellMar>
            <w:top w:w="0" w:type="dxa"/>
            <w:left w:w="108" w:type="dxa"/>
            <w:bottom w:w="0" w:type="dxa"/>
            <w:right w:w="108" w:type="dxa"/>
          </w:tblCellMar>
        </w:tblPrEx>
        <w:trPr>
          <w:trHeight w:val="264"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30106</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14.17</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30204</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30107</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137.29</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30205</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水费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30108</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43.83</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30206</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电费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30109</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20.55</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30207</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0.29</w:t>
            </w:r>
          </w:p>
        </w:tc>
      </w:tr>
      <w:tr>
        <w:tblPrEx>
          <w:tblCellMar>
            <w:top w:w="0" w:type="dxa"/>
            <w:left w:w="108" w:type="dxa"/>
            <w:bottom w:w="0" w:type="dxa"/>
            <w:right w:w="108" w:type="dxa"/>
          </w:tblCellMar>
        </w:tblPrEx>
        <w:trPr>
          <w:trHeight w:val="264"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30110</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18.99</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30208</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30111</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30209</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30112</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1.55</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30211</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30113</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36.60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30212</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30114</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30213</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30199</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3.99</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30214</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1.05</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0.06</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30215</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30301</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30216</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1.02</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30302</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30217</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0.23</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30303</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30218</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30304</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30224</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30305</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30225</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30306</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0.02</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30226</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1.79</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30307</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30227</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30308</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30228</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4.48</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30309</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0.04</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30229</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30310</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30231</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30311</w:t>
            </w:r>
          </w:p>
        </w:tc>
        <w:tc>
          <w:tcPr>
            <w:tcW w:w="256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5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30239</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atLeast"/>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30399</w:t>
            </w:r>
          </w:p>
        </w:tc>
        <w:tc>
          <w:tcPr>
            <w:tcW w:w="2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5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30240</w:t>
            </w:r>
          </w:p>
        </w:tc>
        <w:tc>
          <w:tcPr>
            <w:tcW w:w="17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0.04</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2561"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510"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30299</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2.43</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2561"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510"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310</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资本性支出</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4.42</w:t>
            </w:r>
          </w:p>
        </w:tc>
      </w:tr>
      <w:tr>
        <w:tblPrEx>
          <w:tblCellMar>
            <w:top w:w="0" w:type="dxa"/>
            <w:left w:w="108" w:type="dxa"/>
            <w:bottom w:w="0" w:type="dxa"/>
            <w:right w:w="108" w:type="dxa"/>
          </w:tblCellMar>
        </w:tblPrEx>
        <w:trPr>
          <w:trHeight w:val="276" w:hRule="atLeast"/>
        </w:trPr>
        <w:tc>
          <w:tcPr>
            <w:tcW w:w="1189" w:type="dxa"/>
            <w:tcBorders>
              <w:top w:val="nil"/>
              <w:left w:val="single" w:color="auto" w:sz="4" w:space="0"/>
              <w:bottom w:val="single" w:color="auto" w:sz="4" w:space="0"/>
              <w:right w:val="single" w:color="auto" w:sz="4" w:space="0"/>
            </w:tcBorders>
            <w:vAlign w:val="center"/>
          </w:tcPr>
          <w:p>
            <w:pPr>
              <w:jc w:val="left"/>
              <w:rPr>
                <w:rFonts w:ascii="宋体" w:hAnsi="宋体" w:cs="Arial"/>
                <w:color w:val="000000"/>
                <w:kern w:val="0"/>
                <w:sz w:val="22"/>
                <w:szCs w:val="22"/>
              </w:rPr>
            </w:pPr>
          </w:p>
        </w:tc>
        <w:tc>
          <w:tcPr>
            <w:tcW w:w="2561"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1510"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31002</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办公设备购置</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4.42</w:t>
            </w:r>
          </w:p>
        </w:tc>
      </w:tr>
      <w:tr>
        <w:tblPrEx>
          <w:tblCellMar>
            <w:top w:w="0" w:type="dxa"/>
            <w:left w:w="108" w:type="dxa"/>
            <w:bottom w:w="0" w:type="dxa"/>
            <w:right w:w="108" w:type="dxa"/>
          </w:tblCellMar>
        </w:tblPrEx>
        <w:trPr>
          <w:trHeight w:val="264" w:hRule="atLeast"/>
        </w:trPr>
        <w:tc>
          <w:tcPr>
            <w:tcW w:w="37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510" w:type="dxa"/>
            <w:tcBorders>
              <w:top w:val="single" w:color="auto" w:sz="4" w:space="0"/>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436.01</w:t>
            </w:r>
          </w:p>
        </w:tc>
        <w:tc>
          <w:tcPr>
            <w:tcW w:w="255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single" w:color="auto" w:sz="4" w:space="0"/>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24.26</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0.23</w:t>
            </w:r>
          </w:p>
        </w:tc>
        <w:tc>
          <w:tcPr>
            <w:tcW w:w="160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2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2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2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0.23</w:t>
            </w:r>
          </w:p>
        </w:tc>
        <w:tc>
          <w:tcPr>
            <w:tcW w:w="8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0.23</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39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1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0.23</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注：本表反映部门本年度“三公”经费支出预决算情况。其中，2020年度预算数为“三公”经费年初预算数，决算数是包括当年一般公共预算财政拨款和以前年度结转资金安排的实际支出。</w:t>
      </w:r>
    </w:p>
    <w:p/>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eastAsia="宋体"/>
          <w:lang w:eastAsia="zh-CN"/>
        </w:rPr>
      </w:pPr>
      <w:r>
        <w:rPr>
          <w:rFonts w:hint="eastAsia"/>
        </w:rPr>
        <w:t>注：本表反映部门本年度政府性基金预算财政拨款收入支出及结转和结余情况。</w:t>
      </w:r>
      <w:r>
        <w:rPr>
          <w:rFonts w:hint="eastAsia"/>
          <w:lang w:eastAsia="zh-CN"/>
        </w:rPr>
        <w:t>柳州市莲花山保护中心没有政府性基金预算财政拨款收入，也没有政府性基金预算安排的支出，故本表无数据。</w:t>
      </w:r>
    </w:p>
    <w:p>
      <w:pPr>
        <w:spacing w:line="560" w:lineRule="exact"/>
        <w:ind w:firstLine="420"/>
        <w:rPr>
          <w:rFonts w:hint="eastAsia"/>
        </w:rPr>
      </w:pPr>
    </w:p>
    <w:tbl>
      <w:tblPr>
        <w:tblStyle w:val="5"/>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9"/>
                <w:highlight w:val="none"/>
                <w:lang w:val="en-US" w:eastAsia="zh-CN" w:bidi="ar"/>
              </w:rPr>
              <w:t xml:space="preserve">   </w:t>
            </w:r>
            <w:r>
              <w:rPr>
                <w:rStyle w:val="10"/>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注：本表反映部门本年度国有资本经营预算财政拨款支出情况。柳州市莲花山保护中心没有国有资本经营预算财政拨款，也没有国有资本经营预算安排</w:t>
            </w:r>
            <w:r>
              <w:rPr>
                <w:rFonts w:hint="eastAsia" w:ascii="宋体" w:hAnsi="宋体" w:cs="宋体"/>
                <w:i w:val="0"/>
                <w:color w:val="000000"/>
                <w:kern w:val="0"/>
                <w:sz w:val="24"/>
                <w:szCs w:val="24"/>
                <w:highlight w:val="none"/>
                <w:u w:val="none"/>
                <w:lang w:val="en-US" w:eastAsia="zh-CN" w:bidi="ar"/>
              </w:rPr>
              <w:t>的</w:t>
            </w:r>
            <w:r>
              <w:rPr>
                <w:rFonts w:hint="eastAsia" w:ascii="宋体" w:hAnsi="宋体" w:eastAsia="宋体" w:cs="宋体"/>
                <w:i w:val="0"/>
                <w:color w:val="000000"/>
                <w:kern w:val="0"/>
                <w:sz w:val="24"/>
                <w:szCs w:val="24"/>
                <w:highlight w:val="none"/>
                <w:u w:val="none"/>
                <w:lang w:val="en-US" w:eastAsia="zh-CN" w:bidi="ar"/>
              </w:rPr>
              <w:t>支出，故本表无数据。</w:t>
            </w:r>
          </w:p>
        </w:tc>
      </w:tr>
    </w:tbl>
    <w:p>
      <w:pPr>
        <w:spacing w:line="560" w:lineRule="exact"/>
        <w:ind w:firstLine="420"/>
        <w:rPr>
          <w:rFonts w:hint="eastAsia"/>
          <w:highlight w:val="none"/>
        </w:rPr>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jc w:val="center"/>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柳州市莲花山保护中心</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2654.73</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2795.93</w:t>
      </w:r>
      <w:r>
        <w:rPr>
          <w:rFonts w:hint="eastAsia" w:ascii="仿宋_GB2312" w:eastAsia="仿宋_GB2312" w:cs="仿宋_GB2312"/>
          <w:bCs/>
          <w:kern w:val="0"/>
          <w:sz w:val="32"/>
          <w:szCs w:val="32"/>
        </w:rPr>
        <w:t>万元，与2019年相比，</w:t>
      </w:r>
      <w:r>
        <w:rPr>
          <w:rFonts w:hint="eastAsia" w:ascii="仿宋_GB2312" w:eastAsia="仿宋_GB2312" w:cs="仿宋_GB2312"/>
          <w:bCs/>
          <w:kern w:val="0"/>
          <w:sz w:val="32"/>
          <w:szCs w:val="32"/>
          <w:lang w:eastAsia="zh-CN"/>
        </w:rPr>
        <w:t>收、支分别</w:t>
      </w:r>
      <w:r>
        <w:rPr>
          <w:rFonts w:hint="eastAsia" w:ascii="仿宋_GB2312" w:hAnsi="仿宋" w:eastAsia="仿宋_GB2312"/>
          <w:color w:val="auto"/>
          <w:sz w:val="32"/>
          <w:szCs w:val="32"/>
          <w:lang w:val="en-US" w:eastAsia="zh-CN"/>
        </w:rPr>
        <w:t>增加642.64万元、1176.67万元，分别增长31.94%、</w:t>
      </w:r>
      <w:r>
        <w:rPr>
          <w:rFonts w:hint="eastAsia" w:ascii="仿宋_GB2312" w:eastAsia="仿宋_GB2312" w:cs="仿宋_GB2312"/>
          <w:bCs/>
          <w:kern w:val="0"/>
          <w:sz w:val="32"/>
          <w:szCs w:val="32"/>
          <w:lang w:val="en-US" w:eastAsia="zh-CN"/>
        </w:rPr>
        <w:t>72.67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2654.73</w:t>
      </w:r>
      <w:r>
        <w:rPr>
          <w:rFonts w:hint="eastAsia" w:ascii="仿宋_GB2312" w:eastAsia="仿宋_GB2312" w:cs="仿宋_GB2312"/>
          <w:bCs/>
          <w:kern w:val="0"/>
          <w:sz w:val="32"/>
          <w:szCs w:val="32"/>
        </w:rPr>
        <w:t>万元 ，其中：一般公共预算财政拨款收入</w:t>
      </w:r>
      <w:r>
        <w:rPr>
          <w:rFonts w:hint="eastAsia" w:ascii="仿宋_GB2312" w:hAnsi="仿宋" w:eastAsia="仿宋_GB2312"/>
          <w:color w:val="auto"/>
          <w:sz w:val="32"/>
          <w:szCs w:val="32"/>
          <w:lang w:val="en-US" w:eastAsia="zh-CN"/>
        </w:rPr>
        <w:t>2546.35</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w:t>
      </w:r>
      <w:r>
        <w:rPr>
          <w:rFonts w:hint="eastAsia" w:ascii="仿宋_GB2312" w:hAnsi="仿宋" w:eastAsia="仿宋_GB2312"/>
          <w:color w:val="auto"/>
          <w:sz w:val="32"/>
          <w:szCs w:val="32"/>
          <w:lang w:val="en-US" w:eastAsia="zh-CN"/>
        </w:rPr>
        <w:t>95.92%</w:t>
      </w:r>
      <w:r>
        <w:rPr>
          <w:rFonts w:hint="eastAsia" w:ascii="仿宋_GB2312" w:eastAsia="仿宋_GB2312" w:cs="仿宋_GB2312"/>
          <w:bCs/>
          <w:kern w:val="0"/>
          <w:sz w:val="32"/>
          <w:szCs w:val="32"/>
        </w:rPr>
        <w:t>；政府基金预算财政拨款收入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万元；上级补助收入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万元；事业收入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万元；事业单位经营收入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万元；其他收入</w:t>
      </w:r>
      <w:r>
        <w:rPr>
          <w:rFonts w:hint="eastAsia" w:ascii="仿宋_GB2312" w:eastAsia="仿宋_GB2312" w:cs="仿宋_GB2312"/>
          <w:bCs/>
          <w:kern w:val="0"/>
          <w:sz w:val="32"/>
          <w:szCs w:val="32"/>
          <w:lang w:val="en-US" w:eastAsia="zh-CN"/>
        </w:rPr>
        <w:t>108.38</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4.08%</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2795.93</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461.28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16.50</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2334.65</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w:t>
      </w:r>
      <w:r>
        <w:rPr>
          <w:rFonts w:hint="eastAsia" w:ascii="仿宋_GB2312" w:eastAsia="仿宋_GB2312" w:cs="仿宋_GB2312"/>
          <w:bCs/>
          <w:kern w:val="0"/>
          <w:sz w:val="32"/>
          <w:szCs w:val="32"/>
          <w:lang w:val="en-US" w:eastAsia="zh-CN"/>
        </w:rPr>
        <w:t>83.5</w:t>
      </w:r>
      <w:r>
        <w:rPr>
          <w:rFonts w:hint="eastAsia" w:ascii="仿宋_GB2312" w:eastAsia="仿宋_GB2312" w:cs="仿宋_GB2312"/>
          <w:bCs/>
          <w:kern w:val="0"/>
          <w:sz w:val="32"/>
          <w:szCs w:val="32"/>
        </w:rPr>
        <w:t>%；经营支出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四、</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年度财政拨款收入支出决算情况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本部门2020年度财政拨款收</w:t>
      </w:r>
      <w:r>
        <w:rPr>
          <w:rFonts w:hint="eastAsia" w:ascii="仿宋_GB2312" w:eastAsia="仿宋_GB2312" w:cs="仿宋_GB2312"/>
          <w:bCs/>
          <w:color w:val="auto"/>
          <w:kern w:val="0"/>
          <w:sz w:val="32"/>
          <w:szCs w:val="32"/>
          <w:lang w:eastAsia="zh-CN"/>
        </w:rPr>
        <w:t>、支</w:t>
      </w:r>
      <w:r>
        <w:rPr>
          <w:rFonts w:hint="eastAsia" w:ascii="仿宋_GB2312" w:eastAsia="仿宋_GB2312" w:cs="仿宋_GB2312"/>
          <w:bCs/>
          <w:color w:val="auto"/>
          <w:kern w:val="0"/>
          <w:sz w:val="32"/>
          <w:szCs w:val="32"/>
        </w:rPr>
        <w:t>总决算</w:t>
      </w:r>
      <w:r>
        <w:rPr>
          <w:rFonts w:hint="eastAsia" w:ascii="仿宋_GB2312" w:hAnsi="仿宋" w:eastAsia="仿宋_GB2312"/>
          <w:color w:val="auto"/>
          <w:sz w:val="32"/>
          <w:szCs w:val="32"/>
          <w:lang w:val="en-US" w:eastAsia="zh-CN"/>
        </w:rPr>
        <w:t>2546.35</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r>
        <w:rPr>
          <w:rFonts w:hint="eastAsia" w:ascii="仿宋_GB2312" w:hAnsi="仿宋" w:eastAsia="仿宋_GB2312"/>
          <w:color w:val="auto"/>
          <w:sz w:val="32"/>
          <w:szCs w:val="32"/>
          <w:lang w:val="en-US" w:eastAsia="zh-CN"/>
        </w:rPr>
        <w:t>2675.61</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与2019年相比，财政拨款收</w:t>
      </w:r>
      <w:r>
        <w:rPr>
          <w:rFonts w:hint="eastAsia" w:ascii="仿宋_GB2312" w:eastAsia="仿宋_GB2312" w:cs="仿宋_GB2312"/>
          <w:bCs/>
          <w:color w:val="auto"/>
          <w:kern w:val="0"/>
          <w:sz w:val="32"/>
          <w:szCs w:val="32"/>
          <w:lang w:eastAsia="zh-CN"/>
        </w:rPr>
        <w:t>、支总计各增加</w:t>
      </w:r>
      <w:r>
        <w:rPr>
          <w:rFonts w:hint="eastAsia" w:ascii="仿宋_GB2312" w:hAnsi="仿宋" w:eastAsia="仿宋_GB2312"/>
          <w:color w:val="auto"/>
          <w:sz w:val="32"/>
          <w:szCs w:val="32"/>
          <w:lang w:val="en-US" w:eastAsia="zh-CN"/>
        </w:rPr>
        <w:t>753.52万元、1235.17</w:t>
      </w:r>
      <w:r>
        <w:rPr>
          <w:rFonts w:hint="eastAsia" w:ascii="仿宋_GB2312" w:eastAsia="仿宋_GB2312" w:cs="仿宋_GB2312"/>
          <w:bCs/>
          <w:color w:val="auto"/>
          <w:kern w:val="0"/>
          <w:sz w:val="32"/>
          <w:szCs w:val="32"/>
        </w:rPr>
        <w:t>万元</w:t>
      </w:r>
      <w:r>
        <w:rPr>
          <w:rFonts w:hint="eastAsia" w:ascii="仿宋_GB2312" w:hAnsi="仿宋" w:eastAsia="仿宋_GB2312"/>
          <w:color w:val="auto"/>
          <w:sz w:val="32"/>
          <w:szCs w:val="32"/>
          <w:lang w:val="en-US" w:eastAsia="zh-CN"/>
        </w:rPr>
        <w:t>，分别增长42.03%、</w:t>
      </w:r>
      <w:r>
        <w:rPr>
          <w:rFonts w:hint="eastAsia" w:ascii="仿宋_GB2312" w:eastAsia="仿宋_GB2312" w:cs="仿宋_GB2312"/>
          <w:bCs/>
          <w:color w:val="auto"/>
          <w:kern w:val="0"/>
          <w:sz w:val="32"/>
          <w:szCs w:val="32"/>
          <w:lang w:val="en-US" w:eastAsia="zh-CN"/>
        </w:rPr>
        <w:t>85.74</w:t>
      </w:r>
      <w:r>
        <w:rPr>
          <w:rFonts w:hint="eastAsia" w:ascii="仿宋_GB2312" w:eastAsia="仿宋_GB2312" w:cs="仿宋_GB2312"/>
          <w:bCs/>
          <w:color w:val="auto"/>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color w:val="auto"/>
          <w:kern w:val="0"/>
          <w:sz w:val="32"/>
          <w:szCs w:val="32"/>
        </w:rPr>
        <w:t>五、</w:t>
      </w:r>
      <w:r>
        <w:rPr>
          <w:rFonts w:hint="eastAsia" w:eastAsia="仿宋_GB2312"/>
          <w:b/>
          <w:color w:val="auto"/>
          <w:kern w:val="0"/>
          <w:sz w:val="32"/>
          <w:szCs w:val="32"/>
        </w:rPr>
        <w:t>2020年度一般公共预算财政拨款支出决算</w:t>
      </w:r>
      <w:r>
        <w:rPr>
          <w:rFonts w:hint="eastAsia" w:eastAsia="仿宋_GB2312"/>
          <w:b/>
          <w:kern w:val="0"/>
          <w:sz w:val="32"/>
          <w:szCs w:val="32"/>
        </w:rPr>
        <w:t>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部门2020年度财政拨款支出</w:t>
      </w:r>
      <w:r>
        <w:rPr>
          <w:rFonts w:hint="eastAsia" w:ascii="仿宋_GB2312" w:hAnsi="仿宋" w:eastAsia="仿宋_GB2312"/>
          <w:color w:val="auto"/>
          <w:sz w:val="32"/>
          <w:szCs w:val="32"/>
          <w:lang w:val="en-US" w:eastAsia="zh-CN"/>
        </w:rPr>
        <w:t>2675.61</w:t>
      </w:r>
      <w:r>
        <w:rPr>
          <w:rFonts w:hint="eastAsia" w:ascii="仿宋_GB2312" w:eastAsia="仿宋_GB2312" w:cs="仿宋_GB2312"/>
          <w:bCs/>
          <w:color w:val="auto"/>
          <w:kern w:val="0"/>
          <w:sz w:val="32"/>
          <w:szCs w:val="32"/>
        </w:rPr>
        <w:t>万元，占本年支出合计的</w:t>
      </w:r>
      <w:r>
        <w:rPr>
          <w:rFonts w:hint="eastAsia" w:ascii="仿宋_GB2312" w:eastAsia="仿宋_GB2312" w:cs="仿宋_GB2312"/>
          <w:bCs/>
          <w:color w:val="auto"/>
          <w:kern w:val="0"/>
          <w:sz w:val="32"/>
          <w:szCs w:val="32"/>
          <w:lang w:val="en-US" w:eastAsia="zh-CN"/>
        </w:rPr>
        <w:t>95.70</w:t>
      </w:r>
      <w:r>
        <w:rPr>
          <w:rFonts w:hint="eastAsia" w:ascii="仿宋_GB2312" w:eastAsia="仿宋_GB2312" w:cs="仿宋_GB2312"/>
          <w:bCs/>
          <w:color w:val="auto"/>
          <w:kern w:val="0"/>
          <w:sz w:val="32"/>
          <w:szCs w:val="32"/>
        </w:rPr>
        <w:t>%。与2019年相比，财政拨款支出增</w:t>
      </w:r>
      <w:r>
        <w:rPr>
          <w:rFonts w:hint="eastAsia" w:ascii="仿宋_GB2312" w:eastAsia="仿宋_GB2312" w:cs="仿宋_GB2312"/>
          <w:bCs/>
          <w:color w:val="auto"/>
          <w:kern w:val="0"/>
          <w:sz w:val="32"/>
          <w:szCs w:val="32"/>
          <w:lang w:eastAsia="zh-CN"/>
        </w:rPr>
        <w:t>加</w:t>
      </w:r>
      <w:r>
        <w:rPr>
          <w:rFonts w:hint="eastAsia" w:ascii="仿宋_GB2312" w:hAnsi="仿宋" w:eastAsia="仿宋_GB2312"/>
          <w:color w:val="auto"/>
          <w:sz w:val="32"/>
          <w:szCs w:val="32"/>
          <w:lang w:val="en-US" w:eastAsia="zh-CN"/>
        </w:rPr>
        <w:t>1235.16</w:t>
      </w:r>
      <w:r>
        <w:rPr>
          <w:rFonts w:hint="eastAsia" w:ascii="仿宋_GB2312" w:eastAsia="仿宋_GB2312" w:cs="仿宋_GB2312"/>
          <w:bCs/>
          <w:color w:val="auto"/>
          <w:kern w:val="0"/>
          <w:sz w:val="32"/>
          <w:szCs w:val="32"/>
        </w:rPr>
        <w:t>万元，增长</w:t>
      </w:r>
      <w:r>
        <w:rPr>
          <w:rFonts w:hint="eastAsia" w:ascii="仿宋_GB2312" w:eastAsia="仿宋_GB2312" w:cs="仿宋_GB2312"/>
          <w:bCs/>
          <w:color w:val="auto"/>
          <w:kern w:val="0"/>
          <w:sz w:val="32"/>
          <w:szCs w:val="32"/>
          <w:lang w:val="en-US" w:eastAsia="zh-CN"/>
        </w:rPr>
        <w:t>85.75</w:t>
      </w:r>
      <w:r>
        <w:rPr>
          <w:rFonts w:hint="eastAsia" w:ascii="仿宋_GB2312" w:eastAsia="仿宋_GB2312" w:cs="仿宋_GB2312"/>
          <w:bCs/>
          <w:color w:val="auto"/>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2020 年度财政拨款支出</w:t>
      </w:r>
      <w:r>
        <w:rPr>
          <w:rFonts w:hint="eastAsia" w:ascii="仿宋_GB2312" w:eastAsia="仿宋_GB2312" w:cs="仿宋_GB2312"/>
          <w:bCs/>
          <w:kern w:val="0"/>
          <w:sz w:val="32"/>
          <w:szCs w:val="32"/>
          <w:lang w:val="en-US" w:eastAsia="zh-CN"/>
        </w:rPr>
        <w:t>2675.61</w:t>
      </w:r>
      <w:r>
        <w:rPr>
          <w:rFonts w:hint="eastAsia" w:ascii="仿宋_GB2312" w:eastAsia="仿宋_GB2312" w:cs="仿宋_GB2312"/>
          <w:bCs/>
          <w:kern w:val="0"/>
          <w:sz w:val="32"/>
          <w:szCs w:val="32"/>
        </w:rPr>
        <w:t>万元，主要用于以下方面：社会保障和就业支出</w:t>
      </w:r>
      <w:r>
        <w:rPr>
          <w:rFonts w:hint="eastAsia" w:ascii="仿宋_GB2312" w:eastAsia="仿宋_GB2312" w:cs="仿宋_GB2312"/>
          <w:bCs/>
          <w:kern w:val="0"/>
          <w:sz w:val="32"/>
          <w:szCs w:val="32"/>
          <w:lang w:val="en-US" w:eastAsia="zh-CN"/>
        </w:rPr>
        <w:t>64.38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2.41</w:t>
      </w:r>
      <w:r>
        <w:rPr>
          <w:rFonts w:hint="eastAsia" w:ascii="仿宋_GB2312" w:eastAsia="仿宋_GB2312" w:cs="仿宋_GB2312"/>
          <w:bCs/>
          <w:kern w:val="0"/>
          <w:sz w:val="32"/>
          <w:szCs w:val="32"/>
        </w:rPr>
        <w:t>%；卫生健康支出</w:t>
      </w:r>
      <w:r>
        <w:rPr>
          <w:rFonts w:hint="eastAsia" w:ascii="仿宋_GB2312" w:eastAsia="仿宋_GB2312" w:cs="仿宋_GB2312"/>
          <w:bCs/>
          <w:kern w:val="0"/>
          <w:sz w:val="32"/>
          <w:szCs w:val="32"/>
          <w:lang w:val="en-US" w:eastAsia="zh-CN"/>
        </w:rPr>
        <w:t>18.91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0.71</w:t>
      </w:r>
      <w:r>
        <w:rPr>
          <w:rFonts w:hint="eastAsia" w:ascii="仿宋_GB2312" w:eastAsia="仿宋_GB2312" w:cs="仿宋_GB2312"/>
          <w:bCs/>
          <w:kern w:val="0"/>
          <w:sz w:val="32"/>
          <w:szCs w:val="32"/>
        </w:rPr>
        <w:t>%；城乡社区支出</w:t>
      </w:r>
      <w:r>
        <w:rPr>
          <w:rFonts w:hint="eastAsia" w:ascii="仿宋_GB2312" w:eastAsia="仿宋_GB2312" w:cs="仿宋_GB2312"/>
          <w:bCs/>
          <w:kern w:val="0"/>
          <w:sz w:val="32"/>
          <w:szCs w:val="32"/>
          <w:lang w:val="en-US" w:eastAsia="zh-CN"/>
        </w:rPr>
        <w:t>2480.06万元，占92.69%；农林水支出75.66万元，占2.83%；</w:t>
      </w:r>
      <w:r>
        <w:rPr>
          <w:rFonts w:hint="eastAsia" w:ascii="仿宋_GB2312" w:eastAsia="仿宋_GB2312" w:cs="仿宋_GB2312"/>
          <w:bCs/>
          <w:kern w:val="0"/>
          <w:sz w:val="32"/>
          <w:szCs w:val="32"/>
        </w:rPr>
        <w:t xml:space="preserve"> 住房保障支出</w:t>
      </w:r>
      <w:r>
        <w:rPr>
          <w:rFonts w:hint="eastAsia" w:ascii="仿宋_GB2312" w:eastAsia="仿宋_GB2312" w:cs="仿宋_GB2312"/>
          <w:bCs/>
          <w:kern w:val="0"/>
          <w:sz w:val="32"/>
          <w:szCs w:val="32"/>
          <w:lang w:val="en-US" w:eastAsia="zh-CN"/>
        </w:rPr>
        <w:t>36.6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1.37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eastAsia="仿宋_GB2312" w:cs="仿宋_GB2312"/>
          <w:bCs/>
          <w:color w:val="000000" w:themeColor="text1"/>
          <w:kern w:val="0"/>
          <w:sz w:val="32"/>
          <w:szCs w:val="32"/>
          <w:highlight w:val="none"/>
          <w14:textFill>
            <w14:solidFill>
              <w14:schemeClr w14:val="tx1"/>
            </w14:solidFill>
          </w14:textFill>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eastAsia="仿宋_GB2312" w:cs="仿宋_GB2312"/>
          <w:bCs/>
          <w:color w:val="000000" w:themeColor="text1"/>
          <w:kern w:val="0"/>
          <w:sz w:val="32"/>
          <w:szCs w:val="32"/>
          <w:highlight w:val="none"/>
          <w14:textFill>
            <w14:solidFill>
              <w14:schemeClr w14:val="tx1"/>
            </w14:solidFill>
          </w14:textFill>
        </w:rPr>
        <w:t xml:space="preserve"> 2020 年度财政拨款支出年初预算为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1412.09</w:t>
      </w:r>
      <w:r>
        <w:rPr>
          <w:rFonts w:hint="eastAsia" w:ascii="仿宋_GB2312" w:eastAsia="仿宋_GB2312" w:cs="仿宋_GB2312"/>
          <w:bCs/>
          <w:color w:val="000000" w:themeColor="text1"/>
          <w:kern w:val="0"/>
          <w:sz w:val="32"/>
          <w:szCs w:val="32"/>
          <w:highlight w:val="none"/>
          <w14:textFill>
            <w14:solidFill>
              <w14:schemeClr w14:val="tx1"/>
            </w14:solidFill>
          </w14:textFill>
        </w:rPr>
        <w:t>万元，支出决算为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2675.61</w:t>
      </w:r>
      <w:r>
        <w:rPr>
          <w:rFonts w:hint="eastAsia" w:ascii="仿宋_GB2312" w:eastAsia="仿宋_GB2312" w:cs="仿宋_GB2312"/>
          <w:bCs/>
          <w:color w:val="000000" w:themeColor="text1"/>
          <w:kern w:val="0"/>
          <w:sz w:val="32"/>
          <w:szCs w:val="32"/>
          <w:highlight w:val="none"/>
          <w14:textFill>
            <w14:solidFill>
              <w14:schemeClr w14:val="tx1"/>
            </w14:solidFill>
          </w14:textFill>
        </w:rPr>
        <w:t>万元，完成年初预算的</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189.48</w:t>
      </w:r>
      <w:r>
        <w:rPr>
          <w:rFonts w:hint="eastAsia" w:ascii="仿宋_GB2312" w:eastAsia="仿宋_GB2312" w:cs="仿宋_GB2312"/>
          <w:bCs/>
          <w:color w:val="000000" w:themeColor="text1"/>
          <w:kern w:val="0"/>
          <w:sz w:val="32"/>
          <w:szCs w:val="32"/>
          <w:highlight w:val="none"/>
          <w14:textFill>
            <w14:solidFill>
              <w14:schemeClr w14:val="tx1"/>
            </w14:solidFill>
          </w14:textFill>
        </w:rPr>
        <w:t>%。决算数大于预算数主要原因：一是追加安排财政拨款支出</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预算</w:t>
      </w:r>
      <w:r>
        <w:rPr>
          <w:rFonts w:hint="eastAsia" w:ascii="仿宋_GB2312" w:eastAsia="仿宋_GB2312" w:cs="仿宋_GB2312"/>
          <w:bCs/>
          <w:color w:val="000000" w:themeColor="text1"/>
          <w:kern w:val="0"/>
          <w:sz w:val="32"/>
          <w:szCs w:val="32"/>
          <w:highlight w:val="none"/>
          <w14:textFill>
            <w14:solidFill>
              <w14:schemeClr w14:val="tx1"/>
            </w14:solidFill>
          </w14:textFill>
        </w:rPr>
        <w:t>，涉及项目有林业发展扶持资金</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、广西国有三门江林场生态补偿资金等</w:t>
      </w:r>
      <w:r>
        <w:rPr>
          <w:rFonts w:hint="eastAsia" w:ascii="仿宋_GB2312" w:eastAsia="仿宋_GB2312" w:cs="仿宋_GB2312"/>
          <w:bCs/>
          <w:color w:val="000000" w:themeColor="text1"/>
          <w:kern w:val="0"/>
          <w:sz w:val="32"/>
          <w:szCs w:val="32"/>
          <w:highlight w:val="none"/>
          <w14:textFill>
            <w14:solidFill>
              <w14:schemeClr w14:val="tx1"/>
            </w14:solidFill>
          </w14:textFill>
        </w:rPr>
        <w:t>；二是部分支出按规定，通过使用以前年度财政拨款结转资金解决。</w:t>
      </w:r>
    </w:p>
    <w:p>
      <w:pPr>
        <w:autoSpaceDE w:val="0"/>
        <w:autoSpaceDN w:val="0"/>
        <w:adjustRightInd w:val="0"/>
        <w:spacing w:line="580" w:lineRule="exact"/>
        <w:ind w:firstLine="640" w:firstLineChars="200"/>
        <w:jc w:val="left"/>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仿宋_GB2312"/>
          <w:bCs/>
          <w:color w:val="000000" w:themeColor="text1"/>
          <w:kern w:val="0"/>
          <w:sz w:val="32"/>
          <w:szCs w:val="32"/>
          <w:highlight w:val="none"/>
          <w14:textFill>
            <w14:solidFill>
              <w14:schemeClr w14:val="tx1"/>
            </w14:solidFill>
          </w14:textFill>
        </w:rPr>
        <w:t>1.社会保障和就业支出（类）行政事业单位养老支出</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（款）机关</w:t>
      </w:r>
      <w:r>
        <w:rPr>
          <w:rFonts w:hint="eastAsia" w:ascii="仿宋_GB2312" w:eastAsia="仿宋_GB2312" w:cs="仿宋_GB2312"/>
          <w:bCs/>
          <w:color w:val="000000" w:themeColor="text1"/>
          <w:kern w:val="0"/>
          <w:sz w:val="32"/>
          <w:szCs w:val="32"/>
          <w:highlight w:val="none"/>
          <w14:textFill>
            <w14:solidFill>
              <w14:schemeClr w14:val="tx1"/>
            </w14:solidFill>
          </w14:textFill>
        </w:rPr>
        <w:t>事业单位养老</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保险缴费支出（项）。</w:t>
      </w:r>
      <w:r>
        <w:rPr>
          <w:rFonts w:hint="eastAsia" w:ascii="仿宋_GB2312" w:eastAsia="仿宋_GB2312" w:cs="仿宋_GB2312"/>
          <w:bCs/>
          <w:color w:val="000000" w:themeColor="text1"/>
          <w:kern w:val="0"/>
          <w:sz w:val="32"/>
          <w:szCs w:val="32"/>
          <w:highlight w:val="none"/>
          <w14:textFill>
            <w14:solidFill>
              <w14:schemeClr w14:val="tx1"/>
            </w14:solidFill>
          </w14:textFill>
        </w:rPr>
        <w:t>年初预算为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32.08</w:t>
      </w:r>
      <w:r>
        <w:rPr>
          <w:rFonts w:hint="eastAsia" w:ascii="仿宋_GB2312" w:eastAsia="仿宋_GB2312" w:cs="仿宋_GB2312"/>
          <w:bCs/>
          <w:color w:val="000000" w:themeColor="text1"/>
          <w:kern w:val="0"/>
          <w:sz w:val="32"/>
          <w:szCs w:val="32"/>
          <w:highlight w:val="none"/>
          <w14:textFill>
            <w14:solidFill>
              <w14:schemeClr w14:val="tx1"/>
            </w14:solidFill>
          </w14:textFill>
        </w:rPr>
        <w:t>万元，支出决算为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46.7</w:t>
      </w:r>
      <w:r>
        <w:rPr>
          <w:rFonts w:hint="eastAsia" w:ascii="仿宋_GB2312" w:eastAsia="仿宋_GB2312" w:cs="仿宋_GB2312"/>
          <w:bCs/>
          <w:color w:val="000000" w:themeColor="text1"/>
          <w:kern w:val="0"/>
          <w:sz w:val="32"/>
          <w:szCs w:val="32"/>
          <w:highlight w:val="none"/>
          <w14:textFill>
            <w14:solidFill>
              <w14:schemeClr w14:val="tx1"/>
            </w14:solidFill>
          </w14:textFill>
        </w:rPr>
        <w:t>万元，完成年初预算的</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145.57</w:t>
      </w:r>
      <w:r>
        <w:rPr>
          <w:rFonts w:hint="eastAsia" w:ascii="仿宋_GB2312" w:eastAsia="仿宋_GB2312" w:cs="仿宋_GB2312"/>
          <w:bCs/>
          <w:color w:val="000000" w:themeColor="text1"/>
          <w:kern w:val="0"/>
          <w:sz w:val="32"/>
          <w:szCs w:val="32"/>
          <w:highlight w:val="none"/>
          <w14:textFill>
            <w14:solidFill>
              <w14:schemeClr w14:val="tx1"/>
            </w14:solidFill>
          </w14:textFill>
        </w:rPr>
        <w:t>%。决算数大于预算数的主要原因是</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年中</w:t>
      </w:r>
      <w:r>
        <w:rPr>
          <w:rFonts w:hint="eastAsia" w:ascii="仿宋_GB2312" w:eastAsia="仿宋_GB2312" w:cs="仿宋_GB2312"/>
          <w:bCs/>
          <w:color w:val="000000" w:themeColor="text1"/>
          <w:kern w:val="0"/>
          <w:sz w:val="32"/>
          <w:szCs w:val="32"/>
          <w:highlight w:val="none"/>
          <w14:textFill>
            <w14:solidFill>
              <w14:schemeClr w14:val="tx1"/>
            </w14:solidFill>
          </w14:textFill>
        </w:rPr>
        <w:t>预算追加，主要涉及人员变动经费</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w:t>
      </w:r>
    </w:p>
    <w:p>
      <w:pPr>
        <w:autoSpaceDE w:val="0"/>
        <w:autoSpaceDN w:val="0"/>
        <w:adjustRightInd w:val="0"/>
        <w:spacing w:line="580" w:lineRule="exact"/>
        <w:ind w:firstLine="640" w:firstLineChars="200"/>
        <w:jc w:val="left"/>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2</w:t>
      </w:r>
      <w:r>
        <w:rPr>
          <w:rFonts w:hint="eastAsia" w:ascii="仿宋_GB2312" w:eastAsia="仿宋_GB2312" w:cs="仿宋_GB2312"/>
          <w:bCs/>
          <w:color w:val="000000" w:themeColor="text1"/>
          <w:kern w:val="0"/>
          <w:sz w:val="32"/>
          <w:szCs w:val="32"/>
          <w:highlight w:val="none"/>
          <w14:textFill>
            <w14:solidFill>
              <w14:schemeClr w14:val="tx1"/>
            </w14:solidFill>
          </w14:textFill>
        </w:rPr>
        <w:t>.社会保障和就业支出（类）行政事业单位养老支出</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（款）机关事业单位职业年金缴费支出（项）。</w:t>
      </w:r>
      <w:r>
        <w:rPr>
          <w:rFonts w:hint="eastAsia" w:ascii="仿宋_GB2312" w:eastAsia="仿宋_GB2312" w:cs="仿宋_GB2312"/>
          <w:bCs/>
          <w:color w:val="000000" w:themeColor="text1"/>
          <w:kern w:val="0"/>
          <w:sz w:val="32"/>
          <w:szCs w:val="32"/>
          <w:highlight w:val="none"/>
          <w14:textFill>
            <w14:solidFill>
              <w14:schemeClr w14:val="tx1"/>
            </w14:solidFill>
          </w14:textFill>
        </w:rPr>
        <w:t>年初预算为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16.04</w:t>
      </w:r>
      <w:r>
        <w:rPr>
          <w:rFonts w:hint="eastAsia" w:ascii="仿宋_GB2312" w:eastAsia="仿宋_GB2312" w:cs="仿宋_GB2312"/>
          <w:bCs/>
          <w:color w:val="000000" w:themeColor="text1"/>
          <w:kern w:val="0"/>
          <w:sz w:val="32"/>
          <w:szCs w:val="32"/>
          <w:highlight w:val="none"/>
          <w14:textFill>
            <w14:solidFill>
              <w14:schemeClr w14:val="tx1"/>
            </w14:solidFill>
          </w14:textFill>
        </w:rPr>
        <w:t>万元，支出决算为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17.67</w:t>
      </w:r>
      <w:r>
        <w:rPr>
          <w:rFonts w:hint="eastAsia" w:ascii="仿宋_GB2312" w:eastAsia="仿宋_GB2312" w:cs="仿宋_GB2312"/>
          <w:bCs/>
          <w:color w:val="000000" w:themeColor="text1"/>
          <w:kern w:val="0"/>
          <w:sz w:val="32"/>
          <w:szCs w:val="32"/>
          <w:highlight w:val="none"/>
          <w14:textFill>
            <w14:solidFill>
              <w14:schemeClr w14:val="tx1"/>
            </w14:solidFill>
          </w14:textFill>
        </w:rPr>
        <w:t>万元，完成年初预算</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110.16</w:t>
      </w:r>
      <w:r>
        <w:rPr>
          <w:rFonts w:hint="eastAsia" w:ascii="仿宋_GB2312" w:eastAsia="仿宋_GB2312" w:cs="仿宋_GB2312"/>
          <w:bCs/>
          <w:color w:val="000000" w:themeColor="text1"/>
          <w:kern w:val="0"/>
          <w:sz w:val="32"/>
          <w:szCs w:val="32"/>
          <w:highlight w:val="none"/>
          <w14:textFill>
            <w14:solidFill>
              <w14:schemeClr w14:val="tx1"/>
            </w14:solidFill>
          </w14:textFill>
        </w:rPr>
        <w:t>%。决算数大于预算数的主要原因是</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年中</w:t>
      </w:r>
      <w:r>
        <w:rPr>
          <w:rFonts w:hint="eastAsia" w:ascii="仿宋_GB2312" w:eastAsia="仿宋_GB2312" w:cs="仿宋_GB2312"/>
          <w:bCs/>
          <w:color w:val="000000" w:themeColor="text1"/>
          <w:kern w:val="0"/>
          <w:sz w:val="32"/>
          <w:szCs w:val="32"/>
          <w:highlight w:val="none"/>
          <w14:textFill>
            <w14:solidFill>
              <w14:schemeClr w14:val="tx1"/>
            </w14:solidFill>
          </w14:textFill>
        </w:rPr>
        <w:t>预算追加，主要涉及人员变动经费</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w:t>
      </w:r>
    </w:p>
    <w:p>
      <w:pPr>
        <w:autoSpaceDE w:val="0"/>
        <w:autoSpaceDN w:val="0"/>
        <w:adjustRightInd w:val="0"/>
        <w:spacing w:line="580" w:lineRule="exact"/>
        <w:ind w:firstLine="640" w:firstLineChars="200"/>
        <w:jc w:val="left"/>
        <w:rPr>
          <w:rFonts w:hint="eastAsia" w:asci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3</w:t>
      </w:r>
      <w:r>
        <w:rPr>
          <w:rFonts w:hint="eastAsia" w:ascii="仿宋_GB2312" w:eastAsia="仿宋_GB2312" w:cs="仿宋_GB2312"/>
          <w:bCs/>
          <w:color w:val="000000" w:themeColor="text1"/>
          <w:kern w:val="0"/>
          <w:sz w:val="32"/>
          <w:szCs w:val="32"/>
          <w:highlight w:val="none"/>
          <w14:textFill>
            <w14:solidFill>
              <w14:schemeClr w14:val="tx1"/>
            </w14:solidFill>
          </w14:textFill>
        </w:rPr>
        <w:t>.卫生健康支出（类）行政事业单位医疗</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（款）</w:t>
      </w:r>
      <w:r>
        <w:rPr>
          <w:rFonts w:hint="eastAsia" w:ascii="仿宋_GB2312" w:eastAsia="仿宋_GB2312" w:cs="仿宋_GB2312"/>
          <w:bCs/>
          <w:color w:val="000000" w:themeColor="text1"/>
          <w:kern w:val="0"/>
          <w:sz w:val="32"/>
          <w:szCs w:val="32"/>
          <w:highlight w:val="none"/>
          <w14:textFill>
            <w14:solidFill>
              <w14:schemeClr w14:val="tx1"/>
            </w14:solidFill>
          </w14:textFill>
        </w:rPr>
        <w:t>事业单位医疗</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（项）。</w:t>
      </w:r>
      <w:r>
        <w:rPr>
          <w:rFonts w:hint="eastAsia" w:ascii="仿宋_GB2312" w:eastAsia="仿宋_GB2312" w:cs="仿宋_GB2312"/>
          <w:bCs/>
          <w:color w:val="000000" w:themeColor="text1"/>
          <w:kern w:val="0"/>
          <w:sz w:val="32"/>
          <w:szCs w:val="32"/>
          <w:highlight w:val="none"/>
          <w14:textFill>
            <w14:solidFill>
              <w14:schemeClr w14:val="tx1"/>
            </w14:solidFill>
          </w14:textFill>
        </w:rPr>
        <w:t>年初预算为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15.21</w:t>
      </w:r>
      <w:r>
        <w:rPr>
          <w:rFonts w:hint="eastAsia" w:ascii="仿宋_GB2312" w:eastAsia="仿宋_GB2312" w:cs="仿宋_GB2312"/>
          <w:bCs/>
          <w:color w:val="000000" w:themeColor="text1"/>
          <w:kern w:val="0"/>
          <w:sz w:val="32"/>
          <w:szCs w:val="32"/>
          <w:highlight w:val="none"/>
          <w14:textFill>
            <w14:solidFill>
              <w14:schemeClr w14:val="tx1"/>
            </w14:solidFill>
          </w14:textFill>
        </w:rPr>
        <w:t>万元，支出决算为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18.91</w:t>
      </w:r>
      <w:r>
        <w:rPr>
          <w:rFonts w:hint="eastAsia" w:ascii="仿宋_GB2312" w:eastAsia="仿宋_GB2312" w:cs="仿宋_GB2312"/>
          <w:bCs/>
          <w:color w:val="000000" w:themeColor="text1"/>
          <w:kern w:val="0"/>
          <w:sz w:val="32"/>
          <w:szCs w:val="32"/>
          <w:highlight w:val="none"/>
          <w14:textFill>
            <w14:solidFill>
              <w14:schemeClr w14:val="tx1"/>
            </w14:solidFill>
          </w14:textFill>
        </w:rPr>
        <w:t>万元，完成年初预算的</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124.33</w:t>
      </w:r>
      <w:r>
        <w:rPr>
          <w:rFonts w:hint="eastAsia" w:ascii="仿宋_GB2312" w:eastAsia="仿宋_GB2312" w:cs="仿宋_GB2312"/>
          <w:bCs/>
          <w:color w:val="000000" w:themeColor="text1"/>
          <w:kern w:val="0"/>
          <w:sz w:val="32"/>
          <w:szCs w:val="32"/>
          <w:highlight w:val="none"/>
          <w14:textFill>
            <w14:solidFill>
              <w14:schemeClr w14:val="tx1"/>
            </w14:solidFill>
          </w14:textFill>
        </w:rPr>
        <w:t>%。决算数大于预算数的主要原因</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是年中预算追加，主要涉及人员变动经费</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w:t>
      </w:r>
    </w:p>
    <w:p>
      <w:pPr>
        <w:autoSpaceDE w:val="0"/>
        <w:autoSpaceDN w:val="0"/>
        <w:adjustRightInd w:val="0"/>
        <w:spacing w:line="580" w:lineRule="exact"/>
        <w:ind w:firstLine="640" w:firstLineChars="200"/>
        <w:jc w:val="left"/>
        <w:rPr>
          <w:rFonts w:hint="default" w:asci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4</w:t>
      </w:r>
      <w:r>
        <w:rPr>
          <w:rFonts w:hint="eastAsia" w:ascii="仿宋_GB2312" w:eastAsia="仿宋_GB2312" w:cs="仿宋_GB2312"/>
          <w:bCs/>
          <w:color w:val="000000" w:themeColor="text1"/>
          <w:kern w:val="0"/>
          <w:sz w:val="32"/>
          <w:szCs w:val="32"/>
          <w:highlight w:val="none"/>
          <w14:textFill>
            <w14:solidFill>
              <w14:schemeClr w14:val="tx1"/>
            </w14:solidFill>
          </w14:textFill>
        </w:rPr>
        <w:t>.城乡社区支出（类）城乡社区规划与管理</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（款）城乡社区规划与管理（项）。年初预算数为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0万元，支出决算为29.77万元。决算数大于预算数的主要原因是上半年追加预算，资金用于柳州市莲花山保护区域生态保护修复专项规划经费。</w:t>
      </w:r>
    </w:p>
    <w:p>
      <w:pPr>
        <w:autoSpaceDE w:val="0"/>
        <w:autoSpaceDN w:val="0"/>
        <w:adjustRightInd w:val="0"/>
        <w:spacing w:line="580" w:lineRule="exact"/>
        <w:ind w:firstLine="640" w:firstLineChars="200"/>
        <w:jc w:val="left"/>
        <w:rPr>
          <w:rFonts w:hint="eastAsia" w:asci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5.</w:t>
      </w:r>
      <w:r>
        <w:rPr>
          <w:rFonts w:hint="eastAsia" w:ascii="仿宋_GB2312" w:eastAsia="仿宋_GB2312" w:cs="仿宋_GB2312"/>
          <w:bCs/>
          <w:color w:val="000000" w:themeColor="text1"/>
          <w:kern w:val="0"/>
          <w:sz w:val="32"/>
          <w:szCs w:val="32"/>
          <w:highlight w:val="none"/>
          <w14:textFill>
            <w14:solidFill>
              <w14:schemeClr w14:val="tx1"/>
            </w14:solidFill>
          </w14:textFill>
        </w:rPr>
        <w:t>城乡社区支出（类）</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城乡社区环境卫生</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（款）城乡社区环境卫生（项）。年初</w:t>
      </w:r>
      <w:r>
        <w:rPr>
          <w:rFonts w:hint="eastAsia" w:ascii="仿宋_GB2312" w:eastAsia="仿宋_GB2312" w:cs="仿宋_GB2312"/>
          <w:bCs/>
          <w:color w:val="000000" w:themeColor="text1"/>
          <w:kern w:val="0"/>
          <w:sz w:val="32"/>
          <w:szCs w:val="32"/>
          <w:highlight w:val="none"/>
          <w14:textFill>
            <w14:solidFill>
              <w14:schemeClr w14:val="tx1"/>
            </w14:solidFill>
          </w14:textFill>
        </w:rPr>
        <w:t>预算为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1342.43</w:t>
      </w:r>
      <w:r>
        <w:rPr>
          <w:rFonts w:hint="eastAsia" w:ascii="仿宋_GB2312" w:eastAsia="仿宋_GB2312" w:cs="仿宋_GB2312"/>
          <w:bCs/>
          <w:color w:val="000000" w:themeColor="text1"/>
          <w:kern w:val="0"/>
          <w:sz w:val="32"/>
          <w:szCs w:val="32"/>
          <w:highlight w:val="none"/>
          <w14:textFill>
            <w14:solidFill>
              <w14:schemeClr w14:val="tx1"/>
            </w14:solidFill>
          </w14:textFill>
        </w:rPr>
        <w:t>万元，支出决算为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1441.78</w:t>
      </w:r>
      <w:r>
        <w:rPr>
          <w:rFonts w:hint="eastAsia" w:ascii="仿宋_GB2312" w:eastAsia="仿宋_GB2312" w:cs="仿宋_GB2312"/>
          <w:bCs/>
          <w:color w:val="000000" w:themeColor="text1"/>
          <w:kern w:val="0"/>
          <w:sz w:val="32"/>
          <w:szCs w:val="32"/>
          <w:highlight w:val="none"/>
          <w14:textFill>
            <w14:solidFill>
              <w14:schemeClr w14:val="tx1"/>
            </w14:solidFill>
          </w14:textFill>
        </w:rPr>
        <w:t>万元，完成年初预算的</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107.4</w:t>
      </w:r>
      <w:r>
        <w:rPr>
          <w:rFonts w:hint="eastAsia" w:ascii="仿宋_GB2312" w:eastAsia="仿宋_GB2312" w:cs="仿宋_GB2312"/>
          <w:bCs/>
          <w:color w:val="000000" w:themeColor="text1"/>
          <w:kern w:val="0"/>
          <w:sz w:val="32"/>
          <w:szCs w:val="32"/>
          <w:highlight w:val="none"/>
          <w14:textFill>
            <w14:solidFill>
              <w14:schemeClr w14:val="tx1"/>
            </w14:solidFill>
          </w14:textFill>
        </w:rPr>
        <w:t>%。决算数大于预算数的主要原因是</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年中</w:t>
      </w:r>
      <w:r>
        <w:rPr>
          <w:rFonts w:hint="eastAsia" w:ascii="仿宋_GB2312" w:eastAsia="仿宋_GB2312" w:cs="仿宋_GB2312"/>
          <w:bCs/>
          <w:color w:val="000000" w:themeColor="text1"/>
          <w:kern w:val="0"/>
          <w:sz w:val="32"/>
          <w:szCs w:val="32"/>
          <w:highlight w:val="none"/>
          <w14:textFill>
            <w14:solidFill>
              <w14:schemeClr w14:val="tx1"/>
            </w14:solidFill>
          </w14:textFill>
        </w:rPr>
        <w:t>预算追加，主要涉及人员变动经费</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等</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，以及使用上年结转结余。</w:t>
      </w:r>
    </w:p>
    <w:p>
      <w:pPr>
        <w:autoSpaceDE w:val="0"/>
        <w:autoSpaceDN w:val="0"/>
        <w:adjustRightInd w:val="0"/>
        <w:spacing w:line="580" w:lineRule="exact"/>
        <w:ind w:firstLine="640" w:firstLineChars="200"/>
        <w:jc w:val="left"/>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6.</w:t>
      </w:r>
      <w:r>
        <w:rPr>
          <w:rFonts w:hint="eastAsia" w:ascii="仿宋_GB2312" w:eastAsia="仿宋_GB2312" w:cs="仿宋_GB2312"/>
          <w:bCs/>
          <w:color w:val="000000" w:themeColor="text1"/>
          <w:kern w:val="0"/>
          <w:sz w:val="32"/>
          <w:szCs w:val="32"/>
          <w:highlight w:val="none"/>
          <w14:textFill>
            <w14:solidFill>
              <w14:schemeClr w14:val="tx1"/>
            </w14:solidFill>
          </w14:textFill>
        </w:rPr>
        <w:t>城乡社区支出（类）</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其他城乡社区支出</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（款）其他城乡社区支出（项）。年初</w:t>
      </w:r>
      <w:r>
        <w:rPr>
          <w:rFonts w:hint="eastAsia" w:ascii="仿宋_GB2312" w:eastAsia="仿宋_GB2312" w:cs="仿宋_GB2312"/>
          <w:bCs/>
          <w:color w:val="000000" w:themeColor="text1"/>
          <w:kern w:val="0"/>
          <w:sz w:val="32"/>
          <w:szCs w:val="32"/>
          <w:highlight w:val="none"/>
          <w14:textFill>
            <w14:solidFill>
              <w14:schemeClr w14:val="tx1"/>
            </w14:solidFill>
          </w14:textFill>
        </w:rPr>
        <w:t>预算为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0</w:t>
      </w:r>
      <w:r>
        <w:rPr>
          <w:rFonts w:hint="eastAsia" w:ascii="仿宋_GB2312" w:eastAsia="仿宋_GB2312" w:cs="仿宋_GB2312"/>
          <w:bCs/>
          <w:color w:val="000000" w:themeColor="text1"/>
          <w:kern w:val="0"/>
          <w:sz w:val="32"/>
          <w:szCs w:val="32"/>
          <w:highlight w:val="none"/>
          <w14:textFill>
            <w14:solidFill>
              <w14:schemeClr w14:val="tx1"/>
            </w14:solidFill>
          </w14:textFill>
        </w:rPr>
        <w:t>万元，支出决算为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1008.51万元。决算数大于预算数的主要原因是年底追加预算，</w:t>
      </w:r>
      <w:r>
        <w:rPr>
          <w:rFonts w:hint="eastAsia" w:ascii="仿宋_GB2312" w:eastAsia="仿宋_GB2312" w:cs="仿宋_GB2312"/>
          <w:bCs/>
          <w:color w:val="000000" w:themeColor="text1"/>
          <w:kern w:val="0"/>
          <w:sz w:val="32"/>
          <w:szCs w:val="32"/>
          <w:highlight w:val="none"/>
          <w14:textFill>
            <w14:solidFill>
              <w14:schemeClr w14:val="tx1"/>
            </w14:solidFill>
          </w14:textFill>
        </w:rPr>
        <w:t>涉及项目有林业发展扶持资金</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、广西国有三门江林场生态补偿资金等。</w:t>
      </w:r>
    </w:p>
    <w:p>
      <w:pPr>
        <w:autoSpaceDE w:val="0"/>
        <w:autoSpaceDN w:val="0"/>
        <w:adjustRightInd w:val="0"/>
        <w:spacing w:line="580" w:lineRule="exact"/>
        <w:ind w:firstLine="640" w:firstLineChars="200"/>
        <w:jc w:val="left"/>
        <w:rPr>
          <w:rFonts w:hint="default" w:ascii="仿宋_GB2312" w:eastAsia="仿宋_GB2312" w:cs="仿宋_GB2312"/>
          <w:bCs/>
          <w:color w:val="000000" w:themeColor="text1"/>
          <w:kern w:val="0"/>
          <w:sz w:val="32"/>
          <w:szCs w:val="32"/>
          <w:highlight w:val="none"/>
          <w:lang w:val="en-US"/>
          <w14:textFill>
            <w14:solidFill>
              <w14:schemeClr w14:val="tx1"/>
            </w14:solidFill>
          </w14:textFill>
        </w:rPr>
      </w:pP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7.农林水支出</w:t>
      </w:r>
      <w:r>
        <w:rPr>
          <w:rFonts w:hint="eastAsia" w:ascii="仿宋_GB2312" w:eastAsia="仿宋_GB2312" w:cs="仿宋_GB2312"/>
          <w:bCs/>
          <w:color w:val="000000" w:themeColor="text1"/>
          <w:kern w:val="0"/>
          <w:sz w:val="32"/>
          <w:szCs w:val="32"/>
          <w:highlight w:val="none"/>
          <w14:textFill>
            <w14:solidFill>
              <w14:schemeClr w14:val="tx1"/>
            </w14:solidFill>
          </w14:textFill>
        </w:rPr>
        <w:t>（类）</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林业和草原</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（款）</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森林资源管理</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（项）。</w:t>
      </w:r>
      <w:r>
        <w:rPr>
          <w:rFonts w:hint="eastAsia" w:ascii="仿宋_GB2312" w:eastAsia="仿宋_GB2312" w:cs="仿宋_GB2312"/>
          <w:bCs/>
          <w:color w:val="000000" w:themeColor="text1"/>
          <w:kern w:val="0"/>
          <w:sz w:val="32"/>
          <w:szCs w:val="32"/>
          <w:highlight w:val="none"/>
          <w14:textFill>
            <w14:solidFill>
              <w14:schemeClr w14:val="tx1"/>
            </w14:solidFill>
          </w14:textFill>
        </w:rPr>
        <w:t>年初预算为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0.27</w:t>
      </w:r>
      <w:r>
        <w:rPr>
          <w:rFonts w:hint="eastAsia" w:ascii="仿宋_GB2312" w:eastAsia="仿宋_GB2312" w:cs="仿宋_GB2312"/>
          <w:bCs/>
          <w:color w:val="000000" w:themeColor="text1"/>
          <w:kern w:val="0"/>
          <w:sz w:val="32"/>
          <w:szCs w:val="32"/>
          <w:highlight w:val="none"/>
          <w14:textFill>
            <w14:solidFill>
              <w14:schemeClr w14:val="tx1"/>
            </w14:solidFill>
          </w14:textFill>
        </w:rPr>
        <w:t>万元，支出决算为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0.27万元，完成年初预算的100%。决算数等于预算数。</w:t>
      </w:r>
    </w:p>
    <w:p>
      <w:pPr>
        <w:autoSpaceDE w:val="0"/>
        <w:autoSpaceDN w:val="0"/>
        <w:adjustRightInd w:val="0"/>
        <w:spacing w:line="580" w:lineRule="exact"/>
        <w:ind w:firstLine="640" w:firstLineChars="200"/>
        <w:jc w:val="left"/>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8.农林水支出</w:t>
      </w:r>
      <w:r>
        <w:rPr>
          <w:rFonts w:hint="eastAsia" w:ascii="仿宋_GB2312" w:eastAsia="仿宋_GB2312" w:cs="仿宋_GB2312"/>
          <w:bCs/>
          <w:color w:val="000000" w:themeColor="text1"/>
          <w:kern w:val="0"/>
          <w:sz w:val="32"/>
          <w:szCs w:val="32"/>
          <w:highlight w:val="none"/>
          <w14:textFill>
            <w14:solidFill>
              <w14:schemeClr w14:val="tx1"/>
            </w14:solidFill>
          </w14:textFill>
        </w:rPr>
        <w:t>（类）</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林业和草原</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（款）其他林业和草原（项）。</w:t>
      </w:r>
      <w:r>
        <w:rPr>
          <w:rFonts w:hint="eastAsia" w:ascii="仿宋_GB2312" w:eastAsia="仿宋_GB2312" w:cs="仿宋_GB2312"/>
          <w:bCs/>
          <w:color w:val="000000" w:themeColor="text1"/>
          <w:kern w:val="0"/>
          <w:sz w:val="32"/>
          <w:szCs w:val="32"/>
          <w:highlight w:val="none"/>
          <w14:textFill>
            <w14:solidFill>
              <w14:schemeClr w14:val="tx1"/>
            </w14:solidFill>
          </w14:textFill>
        </w:rPr>
        <w:t>年初预算为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0</w:t>
      </w:r>
      <w:r>
        <w:rPr>
          <w:rFonts w:hint="eastAsia" w:ascii="仿宋_GB2312" w:eastAsia="仿宋_GB2312" w:cs="仿宋_GB2312"/>
          <w:bCs/>
          <w:color w:val="000000" w:themeColor="text1"/>
          <w:kern w:val="0"/>
          <w:sz w:val="32"/>
          <w:szCs w:val="32"/>
          <w:highlight w:val="none"/>
          <w14:textFill>
            <w14:solidFill>
              <w14:schemeClr w14:val="tx1"/>
            </w14:solidFill>
          </w14:textFill>
        </w:rPr>
        <w:t>万元，</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支出</w:t>
      </w:r>
      <w:r>
        <w:rPr>
          <w:rFonts w:hint="eastAsia" w:ascii="仿宋_GB2312" w:eastAsia="仿宋_GB2312" w:cs="仿宋_GB2312"/>
          <w:bCs/>
          <w:color w:val="000000" w:themeColor="text1"/>
          <w:kern w:val="0"/>
          <w:sz w:val="32"/>
          <w:szCs w:val="32"/>
          <w:highlight w:val="none"/>
          <w14:textFill>
            <w14:solidFill>
              <w14:schemeClr w14:val="tx1"/>
            </w14:solidFill>
          </w14:textFill>
        </w:rPr>
        <w:t>支出决算为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75.39万元</w:t>
      </w:r>
      <w:r>
        <w:rPr>
          <w:rFonts w:hint="eastAsia" w:ascii="仿宋_GB2312" w:eastAsia="仿宋_GB2312" w:cs="仿宋_GB2312"/>
          <w:bCs/>
          <w:color w:val="000000" w:themeColor="text1"/>
          <w:kern w:val="0"/>
          <w:sz w:val="32"/>
          <w:szCs w:val="32"/>
          <w:highlight w:val="none"/>
          <w14:textFill>
            <w14:solidFill>
              <w14:schemeClr w14:val="tx1"/>
            </w14:solidFill>
          </w14:textFill>
        </w:rPr>
        <w:t>。决算数大于预算数的主要原因是</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下半年</w:t>
      </w:r>
      <w:r>
        <w:rPr>
          <w:rFonts w:hint="eastAsia" w:ascii="仿宋_GB2312" w:eastAsia="仿宋_GB2312" w:cs="仿宋_GB2312"/>
          <w:bCs/>
          <w:color w:val="000000" w:themeColor="text1"/>
          <w:kern w:val="0"/>
          <w:sz w:val="32"/>
          <w:szCs w:val="32"/>
          <w:highlight w:val="none"/>
          <w14:textFill>
            <w14:solidFill>
              <w14:schemeClr w14:val="tx1"/>
            </w14:solidFill>
          </w14:textFill>
        </w:rPr>
        <w:t>追加</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预算，涉及项目有莲花山保护范围人文资源调查工作经费，以及使用</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上年结转结余。</w:t>
      </w:r>
    </w:p>
    <w:p>
      <w:pPr>
        <w:autoSpaceDE w:val="0"/>
        <w:autoSpaceDN w:val="0"/>
        <w:adjustRightInd w:val="0"/>
        <w:spacing w:line="580" w:lineRule="exact"/>
        <w:ind w:firstLine="640" w:firstLineChars="200"/>
        <w:jc w:val="left"/>
        <w:rPr>
          <w:rFonts w:hint="default" w:asci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9.</w:t>
      </w:r>
      <w:r>
        <w:rPr>
          <w:rFonts w:hint="eastAsia" w:ascii="仿宋_GB2312" w:eastAsia="仿宋_GB2312" w:cs="仿宋_GB2312"/>
          <w:bCs/>
          <w:color w:val="000000" w:themeColor="text1"/>
          <w:kern w:val="0"/>
          <w:sz w:val="32"/>
          <w:szCs w:val="32"/>
          <w:highlight w:val="none"/>
          <w14:textFill>
            <w14:solidFill>
              <w14:schemeClr w14:val="tx1"/>
            </w14:solidFill>
          </w14:textFill>
        </w:rPr>
        <w:t>住房保障支出（类）</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住房改革支出（款）住房公积金（项）。</w:t>
      </w:r>
      <w:r>
        <w:rPr>
          <w:rFonts w:hint="eastAsia" w:ascii="仿宋_GB2312" w:eastAsia="仿宋_GB2312" w:cs="仿宋_GB2312"/>
          <w:bCs/>
          <w:color w:val="000000" w:themeColor="text1"/>
          <w:kern w:val="0"/>
          <w:sz w:val="32"/>
          <w:szCs w:val="32"/>
          <w:highlight w:val="none"/>
          <w14:textFill>
            <w14:solidFill>
              <w14:schemeClr w14:val="tx1"/>
            </w14:solidFill>
          </w14:textFill>
        </w:rPr>
        <w:t>年初预算为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24.06</w:t>
      </w:r>
      <w:r>
        <w:rPr>
          <w:rFonts w:hint="eastAsia" w:ascii="仿宋_GB2312" w:eastAsia="仿宋_GB2312" w:cs="仿宋_GB2312"/>
          <w:bCs/>
          <w:color w:val="000000" w:themeColor="text1"/>
          <w:kern w:val="0"/>
          <w:sz w:val="32"/>
          <w:szCs w:val="32"/>
          <w:highlight w:val="none"/>
          <w14:textFill>
            <w14:solidFill>
              <w14:schemeClr w14:val="tx1"/>
            </w14:solidFill>
          </w14:textFill>
        </w:rPr>
        <w:t>万元，支出决算为</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36.6</w:t>
      </w:r>
      <w:r>
        <w:rPr>
          <w:rFonts w:hint="eastAsia" w:ascii="仿宋_GB2312" w:eastAsia="仿宋_GB2312" w:cs="仿宋_GB2312"/>
          <w:bCs/>
          <w:color w:val="000000" w:themeColor="text1"/>
          <w:kern w:val="0"/>
          <w:sz w:val="32"/>
          <w:szCs w:val="32"/>
          <w:highlight w:val="none"/>
          <w14:textFill>
            <w14:solidFill>
              <w14:schemeClr w14:val="tx1"/>
            </w14:solidFill>
          </w14:textFill>
        </w:rPr>
        <w:t>万元，完成年初预算的</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152.12</w:t>
      </w:r>
      <w:r>
        <w:rPr>
          <w:rFonts w:hint="eastAsia" w:ascii="仿宋_GB2312" w:eastAsia="仿宋_GB2312" w:cs="仿宋_GB2312"/>
          <w:bCs/>
          <w:color w:val="000000" w:themeColor="text1"/>
          <w:kern w:val="0"/>
          <w:sz w:val="32"/>
          <w:szCs w:val="32"/>
          <w:highlight w:val="none"/>
          <w14:textFill>
            <w14:solidFill>
              <w14:schemeClr w14:val="tx1"/>
            </w14:solidFill>
          </w14:textFill>
        </w:rPr>
        <w:t>%。决算数大于预算数的主要原因是</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年中</w:t>
      </w:r>
      <w:r>
        <w:rPr>
          <w:rFonts w:hint="eastAsia" w:ascii="仿宋_GB2312" w:eastAsia="仿宋_GB2312" w:cs="仿宋_GB2312"/>
          <w:bCs/>
          <w:color w:val="000000" w:themeColor="text1"/>
          <w:kern w:val="0"/>
          <w:sz w:val="32"/>
          <w:szCs w:val="32"/>
          <w:highlight w:val="none"/>
          <w14:textFill>
            <w14:solidFill>
              <w14:schemeClr w14:val="tx1"/>
            </w14:solidFill>
          </w14:textFill>
        </w:rPr>
        <w:t>预算追加，主要涉及人员变动经费</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lang w:eastAsia="zh-CN"/>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460.27</w:t>
      </w:r>
      <w:r>
        <w:rPr>
          <w:rFonts w:hint="eastAsia" w:ascii="仿宋_GB2312" w:eastAsia="仿宋_GB2312" w:cs="仿宋_GB2312"/>
          <w:bCs/>
          <w:kern w:val="0"/>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436.01</w:t>
      </w:r>
      <w:r>
        <w:rPr>
          <w:rFonts w:hint="eastAsia" w:ascii="仿宋_GB2312" w:eastAsia="仿宋_GB2312" w:cs="仿宋_GB2312"/>
          <w:bCs/>
          <w:kern w:val="0"/>
          <w:sz w:val="32"/>
          <w:szCs w:val="32"/>
        </w:rPr>
        <w:t>万元，主要包括：基本工资、津贴补贴、伙食补助费、绩效工资、机关事业单位基本养老保险缴费、职业年金缴费、职工基本医疗保险缴费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其他社会保障缴费、其他工资福利支出、住房公积金；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24.26</w:t>
      </w:r>
      <w:r>
        <w:rPr>
          <w:rFonts w:hint="eastAsia" w:ascii="仿宋_GB2312" w:eastAsia="仿宋_GB2312" w:cs="仿宋_GB2312"/>
          <w:bCs/>
          <w:kern w:val="0"/>
          <w:sz w:val="32"/>
          <w:szCs w:val="32"/>
        </w:rPr>
        <w:t>万元，主要包括：办公费、印刷费、咨询费、邮电费、差旅费、租赁费、培训费、劳务费、工会经费、其他交通费用、税金及附加费用、其他商品和服务支出</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 xml:space="preserve">（一）“三公”经费财政拨款支出决算总体情况 </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2020 年度“三公”经费财政拨款支出预算为0.23万元，支出决算为0.23万元，完成预算的100%，其中：</w:t>
      </w:r>
      <w:r>
        <w:rPr>
          <w:rFonts w:hint="eastAsia" w:ascii="仿宋_GB2312" w:eastAsia="仿宋_GB2312" w:cs="仿宋_GB2312"/>
          <w:bCs/>
          <w:kern w:val="0"/>
          <w:sz w:val="32"/>
          <w:szCs w:val="32"/>
          <w:lang w:eastAsia="zh-CN"/>
        </w:rPr>
        <w:t>因公出国（境）费支出决算为</w:t>
      </w:r>
      <w:r>
        <w:rPr>
          <w:rFonts w:hint="eastAsia" w:ascii="仿宋_GB2312" w:eastAsia="仿宋_GB2312" w:cs="仿宋_GB2312"/>
          <w:bCs/>
          <w:kern w:val="0"/>
          <w:sz w:val="32"/>
          <w:szCs w:val="32"/>
          <w:lang w:val="en-US" w:eastAsia="zh-CN"/>
        </w:rPr>
        <w:t>0万元；</w:t>
      </w:r>
      <w:r>
        <w:rPr>
          <w:rFonts w:hint="eastAsia" w:ascii="仿宋_GB2312" w:eastAsia="仿宋_GB2312" w:cs="仿宋_GB2312"/>
          <w:bCs/>
          <w:kern w:val="0"/>
          <w:sz w:val="32"/>
          <w:szCs w:val="32"/>
        </w:rPr>
        <w:t>公务接待费支出决算为0.23万元，完成预算的100%</w:t>
      </w:r>
      <w:r>
        <w:rPr>
          <w:rFonts w:hint="eastAsia" w:ascii="仿宋_GB2312" w:eastAsia="仿宋_GB2312" w:cs="仿宋_GB2312"/>
          <w:bCs/>
          <w:kern w:val="0"/>
          <w:sz w:val="32"/>
          <w:szCs w:val="32"/>
          <w:lang w:eastAsia="zh-CN"/>
        </w:rPr>
        <w:t>；公务用车购置及运行费支出决算为</w:t>
      </w:r>
      <w:r>
        <w:rPr>
          <w:rFonts w:hint="eastAsia" w:ascii="仿宋_GB2312" w:eastAsia="仿宋_GB2312" w:cs="仿宋_GB2312"/>
          <w:bCs/>
          <w:kern w:val="0"/>
          <w:sz w:val="32"/>
          <w:szCs w:val="32"/>
          <w:lang w:val="en-US" w:eastAsia="zh-CN"/>
        </w:rPr>
        <w:t>0万元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2020年度“三公”经费支出决算数等于预算数的主要原因是按预算执行。</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0.03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15</w:t>
      </w:r>
      <w:r>
        <w:rPr>
          <w:rFonts w:hint="eastAsia" w:ascii="仿宋_GB2312" w:eastAsia="仿宋_GB2312" w:cs="仿宋_GB2312"/>
          <w:bCs/>
          <w:kern w:val="0"/>
          <w:sz w:val="32"/>
          <w:szCs w:val="32"/>
        </w:rPr>
        <w:t>%，其中：</w:t>
      </w:r>
      <w:r>
        <w:rPr>
          <w:rFonts w:hint="eastAsia" w:ascii="仿宋_GB2312" w:eastAsia="仿宋_GB2312" w:cs="仿宋_GB2312"/>
          <w:bCs/>
          <w:kern w:val="0"/>
          <w:sz w:val="32"/>
          <w:szCs w:val="32"/>
          <w:lang w:val="en-US" w:eastAsia="zh-CN"/>
        </w:rPr>
        <w:t>因公出国（境）费支出0万元；公务用车购置及运行费支出0万元；</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0.03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15</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因公出国（境）费支出减少的主要原因是：无预算，无支出；公务用车购置及运行费支出减少的主要原因是：无预算，无支出；</w:t>
      </w:r>
      <w:r>
        <w:rPr>
          <w:rFonts w:hint="eastAsia" w:ascii="仿宋_GB2312" w:eastAsia="仿宋_GB2312" w:cs="仿宋_GB2312"/>
          <w:bCs/>
          <w:kern w:val="0"/>
          <w:sz w:val="32"/>
          <w:szCs w:val="32"/>
          <w:lang w:eastAsia="zh-CN"/>
        </w:rPr>
        <w:t>公务接待费支出增加的主要原因是</w:t>
      </w:r>
      <w:r>
        <w:rPr>
          <w:rFonts w:hint="eastAsia" w:ascii="仿宋_GB2312" w:eastAsia="仿宋_GB2312" w:cs="仿宋_GB2312"/>
          <w:bCs/>
          <w:kern w:val="0"/>
          <w:sz w:val="32"/>
          <w:szCs w:val="32"/>
          <w:lang w:val="en-US" w:eastAsia="zh-CN"/>
        </w:rPr>
        <w:t>2020年度我单位</w:t>
      </w:r>
      <w:r>
        <w:rPr>
          <w:rFonts w:hint="eastAsia" w:ascii="仿宋_GB2312" w:eastAsia="仿宋_GB2312" w:cs="仿宋_GB2312"/>
          <w:bCs/>
          <w:kern w:val="0"/>
          <w:sz w:val="32"/>
          <w:szCs w:val="32"/>
          <w:lang w:eastAsia="zh-CN"/>
        </w:rPr>
        <w:t>新进一批人员，费用支出相应增长。</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2020年度“三公”经费财政拨款支出决算中，因公出国（境）费支出0万元；公务用车购置及运行费支出0万元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0.23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%。具体情况如下：  </w:t>
      </w:r>
    </w:p>
    <w:p>
      <w:pPr>
        <w:autoSpaceDE w:val="0"/>
        <w:autoSpaceDN w:val="0"/>
        <w:adjustRightInd w:val="0"/>
        <w:spacing w:line="580" w:lineRule="exact"/>
        <w:ind w:firstLine="64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.因公出国（境）费支出0万元</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公务用车购置及运行费支出0万元</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val="en-US" w:eastAsia="zh-CN"/>
        </w:rPr>
        <w:t>0.23</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外宾接待支出0万元。</w:t>
      </w:r>
    </w:p>
    <w:p>
      <w:pPr>
        <w:autoSpaceDE w:val="0"/>
        <w:autoSpaceDN w:val="0"/>
        <w:adjustRightInd w:val="0"/>
        <w:spacing w:line="580" w:lineRule="exact"/>
        <w:ind w:firstLine="640"/>
        <w:jc w:val="left"/>
        <w:rPr>
          <w:rFonts w:hint="eastAsia" w:ascii="仿宋_GB2312" w:eastAsia="仿宋_GB2312" w:cs="仿宋_GB2312"/>
          <w:bCs/>
          <w:kern w:val="0"/>
          <w:sz w:val="32"/>
          <w:szCs w:val="32"/>
          <w:highlight w:val="yellow"/>
        </w:rPr>
      </w:pPr>
      <w:r>
        <w:rPr>
          <w:rFonts w:hint="eastAsia" w:ascii="仿宋_GB2312" w:hAnsi="仿宋" w:eastAsia="仿宋_GB2312"/>
          <w:sz w:val="32"/>
          <w:szCs w:val="32"/>
          <w:lang w:val="en-US" w:eastAsia="zh-CN"/>
        </w:rPr>
        <w:t>国内公务接待支出0.23万元。主要用于业务往来交流接待。2020年共接待国内来访团3批次</w:t>
      </w:r>
      <w:r>
        <w:rPr>
          <w:rFonts w:hint="eastAsia" w:ascii="仿宋_GB2312" w:hAnsi="仿宋" w:eastAsia="仿宋_GB2312"/>
          <w:sz w:val="32"/>
          <w:szCs w:val="32"/>
          <w:highlight w:val="none"/>
          <w:lang w:val="en-US" w:eastAsia="zh-CN"/>
        </w:rPr>
        <w:t>，来宾33人次</w:t>
      </w:r>
      <w:r>
        <w:rPr>
          <w:rFonts w:hint="eastAsia" w:ascii="仿宋_GB2312" w:eastAsia="仿宋_GB2312" w:cs="仿宋_GB2312"/>
          <w:bCs/>
          <w:kern w:val="0"/>
          <w:sz w:val="32"/>
          <w:szCs w:val="32"/>
          <w:highlight w:val="none"/>
        </w:rPr>
        <w:t xml:space="preserve">。   </w:t>
      </w:r>
    </w:p>
    <w:p>
      <w:pPr>
        <w:autoSpaceDE w:val="0"/>
        <w:autoSpaceDN w:val="0"/>
        <w:adjustRightInd w:val="0"/>
        <w:spacing w:line="580" w:lineRule="exact"/>
        <w:ind w:firstLine="64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本部门2020年度</w:t>
      </w:r>
      <w:r>
        <w:rPr>
          <w:rFonts w:hint="eastAsia" w:ascii="仿宋_GB2312" w:eastAsia="仿宋_GB2312" w:cs="仿宋_GB2312"/>
          <w:bCs/>
          <w:kern w:val="0"/>
          <w:sz w:val="32"/>
          <w:szCs w:val="32"/>
          <w:lang w:eastAsia="zh-CN"/>
        </w:rPr>
        <w:t>无</w:t>
      </w:r>
      <w:r>
        <w:rPr>
          <w:rFonts w:hint="eastAsia" w:ascii="仿宋_GB2312" w:eastAsia="仿宋_GB2312" w:cs="仿宋_GB2312"/>
          <w:bCs/>
          <w:kern w:val="0"/>
          <w:sz w:val="32"/>
          <w:szCs w:val="32"/>
        </w:rPr>
        <w:t>政府基金预算财政拨款</w:t>
      </w:r>
      <w:r>
        <w:rPr>
          <w:rFonts w:hint="eastAsia" w:ascii="仿宋_GB2312" w:eastAsia="仿宋_GB2312" w:cs="仿宋_GB2312"/>
          <w:bCs/>
          <w:kern w:val="0"/>
          <w:sz w:val="32"/>
          <w:szCs w:val="32"/>
          <w:lang w:eastAsia="zh-CN"/>
        </w:rPr>
        <w:t>收入和支出。</w:t>
      </w:r>
    </w:p>
    <w:p>
      <w:pPr>
        <w:numPr>
          <w:ilvl w:val="0"/>
          <w:numId w:val="1"/>
        </w:numPr>
        <w:autoSpaceDE w:val="0"/>
        <w:autoSpaceDN w:val="0"/>
        <w:adjustRightInd w:val="0"/>
        <w:spacing w:line="580" w:lineRule="exact"/>
        <w:ind w:left="-13" w:leftChars="0" w:firstLine="643" w:firstLineChars="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 w:val="0"/>
          <w:bCs/>
          <w:kern w:val="0"/>
          <w:sz w:val="32"/>
          <w:szCs w:val="32"/>
          <w:highlight w:val="yellow"/>
          <w:lang w:val="en-US" w:eastAsia="zh-CN"/>
        </w:rPr>
      </w:pPr>
      <w:r>
        <w:rPr>
          <w:rFonts w:hint="eastAsia" w:ascii="仿宋_GB2312" w:eastAsia="仿宋_GB2312" w:cs="仿宋_GB2312"/>
          <w:bCs/>
          <w:color w:val="auto"/>
          <w:kern w:val="0"/>
          <w:sz w:val="32"/>
          <w:szCs w:val="32"/>
          <w:highlight w:val="none"/>
        </w:rPr>
        <w:t>本部门</w:t>
      </w:r>
      <w:r>
        <w:rPr>
          <w:rFonts w:hint="eastAsia" w:ascii="仿宋_GB2312" w:eastAsia="仿宋_GB2312" w:cs="仿宋_GB2312"/>
          <w:b w:val="0"/>
          <w:bCs/>
          <w:color w:val="auto"/>
          <w:kern w:val="0"/>
          <w:sz w:val="32"/>
          <w:szCs w:val="32"/>
          <w:highlight w:val="none"/>
          <w:lang w:val="en-US" w:eastAsia="zh-CN"/>
        </w:rPr>
        <w:t>2020年度无国有资本经营预算财政拨款</w:t>
      </w:r>
      <w:r>
        <w:rPr>
          <w:rFonts w:hint="eastAsia" w:ascii="仿宋_GB2312" w:eastAsia="仿宋_GB2312" w:cs="仿宋_GB2312"/>
          <w:bCs/>
          <w:color w:val="auto"/>
          <w:kern w:val="0"/>
          <w:sz w:val="32"/>
          <w:szCs w:val="32"/>
          <w:highlight w:val="none"/>
          <w:lang w:eastAsia="zh-CN"/>
        </w:rPr>
        <w:t>收入和支出</w:t>
      </w:r>
      <w:r>
        <w:rPr>
          <w:rFonts w:hint="eastAsia" w:ascii="仿宋_GB2312" w:eastAsia="仿宋_GB2312" w:cs="仿宋_GB2312"/>
          <w:b w:val="0"/>
          <w:bCs/>
          <w:color w:val="auto"/>
          <w:kern w:val="0"/>
          <w:sz w:val="32"/>
          <w:szCs w:val="32"/>
          <w:highlight w:val="none"/>
          <w:lang w:val="en-US"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根据财政预算管理要求，我部门组织对</w:t>
      </w:r>
      <w:r>
        <w:rPr>
          <w:rFonts w:hint="eastAsia" w:ascii="仿宋_GB2312" w:eastAsia="仿宋_GB2312" w:cs="仿宋_GB2312"/>
          <w:bCs/>
          <w:kern w:val="0"/>
          <w:sz w:val="32"/>
          <w:szCs w:val="32"/>
          <w:lang w:val="en-US" w:eastAsia="zh-CN"/>
        </w:rPr>
        <w:t>2020</w:t>
      </w:r>
      <w:r>
        <w:rPr>
          <w:rFonts w:hint="eastAsia" w:ascii="仿宋_GB2312" w:eastAsia="仿宋_GB2312" w:cs="仿宋_GB2312"/>
          <w:bCs/>
          <w:kern w:val="0"/>
          <w:sz w:val="32"/>
          <w:szCs w:val="32"/>
        </w:rPr>
        <w:t>年度一般公共预算整体支出和项目支出全面开展绩效自评。</w:t>
      </w:r>
      <w:r>
        <w:rPr>
          <w:rFonts w:hint="eastAsia" w:ascii="仿宋_GB2312" w:eastAsia="仿宋_GB2312" w:cs="仿宋_GB2312"/>
          <w:bCs/>
          <w:kern w:val="0"/>
          <w:sz w:val="32"/>
          <w:szCs w:val="32"/>
          <w:lang w:eastAsia="zh-CN"/>
        </w:rPr>
        <w:t>其中，</w:t>
      </w:r>
      <w:r>
        <w:rPr>
          <w:rFonts w:hint="eastAsia" w:ascii="仿宋_GB2312" w:eastAsia="仿宋_GB2312" w:cs="仿宋_GB2312"/>
          <w:bCs/>
          <w:kern w:val="0"/>
          <w:sz w:val="32"/>
          <w:szCs w:val="32"/>
        </w:rPr>
        <w:t>涉及项目</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个，涉及预算资金</w:t>
      </w:r>
      <w:r>
        <w:rPr>
          <w:rFonts w:hint="eastAsia" w:ascii="仿宋_GB2312" w:eastAsia="仿宋_GB2312" w:cs="仿宋_GB2312"/>
          <w:bCs/>
          <w:kern w:val="0"/>
          <w:sz w:val="32"/>
          <w:szCs w:val="32"/>
          <w:lang w:val="en-US" w:eastAsia="zh-CN"/>
        </w:rPr>
        <w:t>208.33</w:t>
      </w:r>
      <w:r>
        <w:rPr>
          <w:rFonts w:hint="eastAsia" w:ascii="仿宋_GB2312" w:eastAsia="仿宋_GB2312" w:cs="仿宋_GB2312"/>
          <w:bCs/>
          <w:kern w:val="0"/>
          <w:sz w:val="32"/>
          <w:szCs w:val="32"/>
        </w:rPr>
        <w:t xml:space="preserve">万元，自评覆盖率达到100%。 </w:t>
      </w:r>
    </w:p>
    <w:p>
      <w:pPr>
        <w:numPr>
          <w:ilvl w:val="0"/>
          <w:numId w:val="2"/>
        </w:numPr>
        <w:autoSpaceDE w:val="0"/>
        <w:autoSpaceDN w:val="0"/>
        <w:adjustRightInd w:val="0"/>
        <w:spacing w:line="58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部门决算中项目绩效自评结果。</w:t>
      </w:r>
    </w:p>
    <w:p>
      <w:pPr>
        <w:numPr>
          <w:ilvl w:val="0"/>
          <w:numId w:val="3"/>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“绿化养护”项目自评综述：根据年初设定的绩效目标，项目自评得分为98分</w:t>
      </w:r>
      <w:r>
        <w:rPr>
          <w:rFonts w:hint="eastAsia" w:ascii="仿宋_GB2312" w:eastAsia="仿宋_GB2312" w:cs="仿宋_GB2312"/>
          <w:bCs/>
          <w:kern w:val="0"/>
          <w:sz w:val="32"/>
          <w:szCs w:val="32"/>
        </w:rPr>
        <w:t>。项目绩效目标完成情况：</w:t>
      </w:r>
      <w:r>
        <w:rPr>
          <w:rFonts w:hint="eastAsia" w:ascii="仿宋_GB2312" w:eastAsia="仿宋_GB2312" w:cs="仿宋_GB2312"/>
          <w:bCs/>
          <w:kern w:val="0"/>
          <w:sz w:val="32"/>
          <w:szCs w:val="32"/>
          <w:lang w:eastAsia="zh-CN"/>
        </w:rPr>
        <w:t>项目主要用于</w:t>
      </w:r>
      <w:r>
        <w:rPr>
          <w:rFonts w:hint="eastAsia" w:ascii="仿宋_GB2312" w:eastAsia="仿宋_GB2312" w:cs="仿宋_GB2312"/>
          <w:bCs/>
          <w:kern w:val="0"/>
          <w:sz w:val="32"/>
          <w:szCs w:val="32"/>
        </w:rPr>
        <w:t>苗木种植和养护，提升三门江公园和古亭山公园的景观提升</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花卉的摆放，营造了优美的环境和喜庆的节日气氛，为游客提供了舒适的森林资源环境。发现的主要问题</w:t>
      </w:r>
      <w:r>
        <w:rPr>
          <w:rFonts w:hint="eastAsia" w:ascii="仿宋_GB2312" w:eastAsia="仿宋_GB2312" w:cs="仿宋_GB2312"/>
          <w:bCs/>
          <w:kern w:val="0"/>
          <w:sz w:val="32"/>
          <w:szCs w:val="32"/>
          <w:lang w:eastAsia="zh-CN"/>
        </w:rPr>
        <w:t>是按预算执行，合同于2021年3月18日到期，验收合格后，按合同支付尾款。下一步改进措施：按合同执行。</w:t>
      </w:r>
    </w:p>
    <w:p>
      <w:pPr>
        <w:autoSpaceDE w:val="0"/>
        <w:autoSpaceDN w:val="0"/>
        <w:adjustRightInd w:val="0"/>
        <w:spacing w:line="58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Cs/>
          <w:kern w:val="0"/>
          <w:sz w:val="32"/>
          <w:szCs w:val="32"/>
          <w:lang w:eastAsia="zh-CN"/>
        </w:rPr>
        <w:drawing>
          <wp:anchor distT="0" distB="0" distL="114300" distR="114300" simplePos="0" relativeHeight="251659264" behindDoc="0" locked="0" layoutInCell="1" allowOverlap="1">
            <wp:simplePos x="0" y="0"/>
            <wp:positionH relativeFrom="column">
              <wp:posOffset>-127000</wp:posOffset>
            </wp:positionH>
            <wp:positionV relativeFrom="paragraph">
              <wp:posOffset>113665</wp:posOffset>
            </wp:positionV>
            <wp:extent cx="5887720" cy="3562985"/>
            <wp:effectExtent l="0" t="0" r="17780" b="18415"/>
            <wp:wrapSquare wrapText="bothSides"/>
            <wp:docPr id="3" name="图片 3" descr="16278699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7869974(1)"/>
                    <pic:cNvPicPr>
                      <a:picLocks noChangeAspect="1"/>
                    </pic:cNvPicPr>
                  </pic:nvPicPr>
                  <pic:blipFill>
                    <a:blip r:embed="rId12"/>
                    <a:stretch>
                      <a:fillRect/>
                    </a:stretch>
                  </pic:blipFill>
                  <pic:spPr>
                    <a:xfrm>
                      <a:off x="0" y="0"/>
                      <a:ext cx="5887720" cy="3562985"/>
                    </a:xfrm>
                    <a:prstGeom prst="rect">
                      <a:avLst/>
                    </a:prstGeom>
                  </pic:spPr>
                </pic:pic>
              </a:graphicData>
            </a:graphic>
          </wp:anchor>
        </w:drawing>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highlight w:val="none"/>
        </w:rPr>
        <w:t>（一）</w:t>
      </w:r>
      <w:r>
        <w:rPr>
          <w:rFonts w:hint="eastAsia" w:ascii="仿宋_GB2312" w:eastAsia="仿宋_GB2312" w:cs="仿宋_GB2312"/>
          <w:kern w:val="0"/>
          <w:sz w:val="32"/>
          <w:szCs w:val="32"/>
          <w:highlight w:val="none"/>
          <w:lang w:eastAsia="zh-CN"/>
        </w:rPr>
        <w:t>事业单位</w:t>
      </w:r>
      <w:r>
        <w:rPr>
          <w:rFonts w:hint="eastAsia" w:ascii="仿宋_GB2312" w:eastAsia="仿宋_GB2312" w:cs="仿宋_GB2312"/>
          <w:kern w:val="0"/>
          <w:sz w:val="32"/>
          <w:szCs w:val="32"/>
          <w:highlight w:val="none"/>
        </w:rPr>
        <w:t>运行经费支出情况。2020年度部门运行经费支出</w:t>
      </w:r>
      <w:r>
        <w:rPr>
          <w:rFonts w:hint="eastAsia" w:ascii="仿宋_GB2312" w:eastAsia="仿宋_GB2312" w:cs="仿宋_GB2312"/>
          <w:kern w:val="0"/>
          <w:sz w:val="32"/>
          <w:szCs w:val="32"/>
          <w:highlight w:val="none"/>
          <w:lang w:val="en-US" w:eastAsia="zh-CN"/>
        </w:rPr>
        <w:t>91.38</w:t>
      </w:r>
      <w:r>
        <w:rPr>
          <w:rFonts w:hint="eastAsia" w:ascii="仿宋_GB2312" w:eastAsia="仿宋_GB2312" w:cs="仿宋_GB2312"/>
          <w:kern w:val="0"/>
          <w:sz w:val="32"/>
          <w:szCs w:val="32"/>
          <w:highlight w:val="none"/>
        </w:rPr>
        <w:t>万元，比 2</w:t>
      </w:r>
      <w:r>
        <w:rPr>
          <w:rFonts w:hint="eastAsia" w:ascii="仿宋_GB2312" w:eastAsia="仿宋_GB2312" w:cs="仿宋_GB2312"/>
          <w:kern w:val="0"/>
          <w:sz w:val="32"/>
          <w:szCs w:val="32"/>
        </w:rPr>
        <w:t xml:space="preserve">019年增加 </w:t>
      </w:r>
      <w:r>
        <w:rPr>
          <w:rFonts w:hint="eastAsia" w:ascii="仿宋_GB2312" w:eastAsia="仿宋_GB2312" w:cs="仿宋_GB2312"/>
          <w:kern w:val="0"/>
          <w:sz w:val="32"/>
          <w:szCs w:val="32"/>
          <w:lang w:val="en-US" w:eastAsia="zh-CN"/>
        </w:rPr>
        <w:t>45.41</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98</w:t>
      </w:r>
      <w:r>
        <w:rPr>
          <w:rFonts w:hint="eastAsia" w:ascii="仿宋_GB2312" w:eastAsia="仿宋_GB2312" w:cs="仿宋_GB2312"/>
          <w:kern w:val="0"/>
          <w:sz w:val="32"/>
          <w:szCs w:val="32"/>
        </w:rPr>
        <w:t xml:space="preserve"> %，增</w:t>
      </w:r>
      <w:r>
        <w:rPr>
          <w:rFonts w:hint="eastAsia" w:ascii="仿宋_GB2312" w:eastAsia="仿宋_GB2312" w:cs="仿宋_GB2312"/>
          <w:kern w:val="0"/>
          <w:sz w:val="32"/>
          <w:szCs w:val="32"/>
          <w:lang w:eastAsia="zh-CN"/>
        </w:rPr>
        <w:t>长</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是单位机构改革后，为了保障单位正常运行，</w:t>
      </w:r>
      <w:r>
        <w:rPr>
          <w:rFonts w:hint="eastAsia" w:ascii="仿宋_GB2312" w:eastAsia="仿宋_GB2312" w:cs="仿宋_GB2312"/>
          <w:kern w:val="0"/>
          <w:sz w:val="32"/>
          <w:szCs w:val="32"/>
          <w:lang w:val="en-US" w:eastAsia="zh-CN"/>
        </w:rPr>
        <w:t>2020年新增</w:t>
      </w:r>
      <w:r>
        <w:rPr>
          <w:rFonts w:hint="eastAsia" w:ascii="仿宋_GB2312" w:eastAsia="仿宋_GB2312" w:cs="仿宋_GB2312"/>
          <w:kern w:val="0"/>
          <w:sz w:val="32"/>
          <w:szCs w:val="32"/>
          <w:lang w:eastAsia="zh-CN"/>
        </w:rPr>
        <w:t>业务用房租赁以及新进一批人员，费用相应增长</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 762.1 万元，其中：货物支出66.41万元、工程支出49.82万元、服务支出645.87万元。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辆，其中：特种专业技术用车2辆，货车2辆，业务用车1辆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场内观光车4辆。根据《柳州市发展和改革委员会关于&lt;柳州市莲花山保护中心（柳州三门江国家森林公园管理处）公务用车制度改革实施方案&gt;的批复》（柳发改体改〔2018〕53号），同意保留车辆。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4"/>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lang w:eastAsia="zh-CN"/>
        </w:rPr>
        <w:t>事业单位</w:t>
      </w:r>
      <w:r>
        <w:rPr>
          <w:rFonts w:hint="eastAsia" w:ascii="仿宋_GB2312" w:eastAsia="仿宋_GB2312"/>
          <w:bCs/>
          <w:sz w:val="32"/>
          <w:szCs w:val="32"/>
        </w:rPr>
        <w:t>运行经费：为保障单位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pPr>
        <w:ind w:left="-13"/>
      </w:pPr>
      <w:rPr>
        <w:rFonts w:hint="eastAsia"/>
      </w:rPr>
    </w:lvl>
  </w:abstractNum>
  <w:abstractNum w:abstractNumId="1">
    <w:nsid w:val="BF35E1C9"/>
    <w:multiLevelType w:val="singleLevel"/>
    <w:tmpl w:val="BF35E1C9"/>
    <w:lvl w:ilvl="0" w:tentative="0">
      <w:start w:val="1"/>
      <w:numFmt w:val="decimal"/>
      <w:lvlText w:val="%1."/>
      <w:lvlJc w:val="left"/>
      <w:pPr>
        <w:tabs>
          <w:tab w:val="left" w:pos="312"/>
        </w:tabs>
      </w:pPr>
    </w:lvl>
  </w:abstractNum>
  <w:abstractNum w:abstractNumId="2">
    <w:nsid w:val="5B3C894F"/>
    <w:multiLevelType w:val="singleLevel"/>
    <w:tmpl w:val="5B3C894F"/>
    <w:lvl w:ilvl="0" w:tentative="0">
      <w:start w:val="1"/>
      <w:numFmt w:val="chineseCounting"/>
      <w:suff w:val="nothing"/>
      <w:lvlText w:val="（%1）"/>
      <w:lvlJc w:val="left"/>
    </w:lvl>
  </w:abstractNum>
  <w:abstractNum w:abstractNumId="3">
    <w:nsid w:val="5B3C8BA7"/>
    <w:multiLevelType w:val="singleLevel"/>
    <w:tmpl w:val="5B3C8BA7"/>
    <w:lvl w:ilvl="0" w:tentative="0">
      <w:start w:val="1"/>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5A6D08"/>
    <w:rsid w:val="006C1367"/>
    <w:rsid w:val="00715385"/>
    <w:rsid w:val="00F62338"/>
    <w:rsid w:val="00F66C5B"/>
    <w:rsid w:val="01DB711A"/>
    <w:rsid w:val="029B12B4"/>
    <w:rsid w:val="03BC0598"/>
    <w:rsid w:val="04BE68B6"/>
    <w:rsid w:val="0549208C"/>
    <w:rsid w:val="05DE2DB1"/>
    <w:rsid w:val="08E30445"/>
    <w:rsid w:val="09D12B75"/>
    <w:rsid w:val="0A6125BA"/>
    <w:rsid w:val="0A751AFB"/>
    <w:rsid w:val="0E074DDF"/>
    <w:rsid w:val="0E3762FD"/>
    <w:rsid w:val="10E21B30"/>
    <w:rsid w:val="111733C2"/>
    <w:rsid w:val="124204B5"/>
    <w:rsid w:val="12632523"/>
    <w:rsid w:val="1322597E"/>
    <w:rsid w:val="13F22A6F"/>
    <w:rsid w:val="144F1127"/>
    <w:rsid w:val="145D6727"/>
    <w:rsid w:val="14825547"/>
    <w:rsid w:val="15431060"/>
    <w:rsid w:val="15513C66"/>
    <w:rsid w:val="15983980"/>
    <w:rsid w:val="15AF7406"/>
    <w:rsid w:val="165E175D"/>
    <w:rsid w:val="1816111E"/>
    <w:rsid w:val="182962AB"/>
    <w:rsid w:val="18866FBC"/>
    <w:rsid w:val="195E5138"/>
    <w:rsid w:val="19D073EB"/>
    <w:rsid w:val="1ADD6548"/>
    <w:rsid w:val="1B7F1A32"/>
    <w:rsid w:val="1CC31F67"/>
    <w:rsid w:val="1D171751"/>
    <w:rsid w:val="1D300875"/>
    <w:rsid w:val="1E81751B"/>
    <w:rsid w:val="1E914FF2"/>
    <w:rsid w:val="1F871176"/>
    <w:rsid w:val="20D456BB"/>
    <w:rsid w:val="22D408E4"/>
    <w:rsid w:val="23352739"/>
    <w:rsid w:val="23903813"/>
    <w:rsid w:val="23B12D43"/>
    <w:rsid w:val="24D337DC"/>
    <w:rsid w:val="26460DBA"/>
    <w:rsid w:val="27B12218"/>
    <w:rsid w:val="28FF2955"/>
    <w:rsid w:val="29480C5F"/>
    <w:rsid w:val="2A1539E8"/>
    <w:rsid w:val="2A8238F4"/>
    <w:rsid w:val="2B6F74EB"/>
    <w:rsid w:val="2B916312"/>
    <w:rsid w:val="2BB01BA0"/>
    <w:rsid w:val="2C4219FE"/>
    <w:rsid w:val="309D3D75"/>
    <w:rsid w:val="30C00F44"/>
    <w:rsid w:val="315B5F97"/>
    <w:rsid w:val="31BA142E"/>
    <w:rsid w:val="324A26F0"/>
    <w:rsid w:val="325866AE"/>
    <w:rsid w:val="32867678"/>
    <w:rsid w:val="334033BB"/>
    <w:rsid w:val="34020F86"/>
    <w:rsid w:val="34360FE3"/>
    <w:rsid w:val="35AF192E"/>
    <w:rsid w:val="364E3718"/>
    <w:rsid w:val="372906B4"/>
    <w:rsid w:val="37B33E45"/>
    <w:rsid w:val="38B71C71"/>
    <w:rsid w:val="38BA07ED"/>
    <w:rsid w:val="39A63F06"/>
    <w:rsid w:val="39C75A4F"/>
    <w:rsid w:val="3AEF604A"/>
    <w:rsid w:val="3AFC2590"/>
    <w:rsid w:val="3C4D09DA"/>
    <w:rsid w:val="3C71365B"/>
    <w:rsid w:val="3D16101C"/>
    <w:rsid w:val="3E5C29B6"/>
    <w:rsid w:val="3ED1439F"/>
    <w:rsid w:val="3FC11CBC"/>
    <w:rsid w:val="40D63333"/>
    <w:rsid w:val="43F341AE"/>
    <w:rsid w:val="442C26CF"/>
    <w:rsid w:val="450A6061"/>
    <w:rsid w:val="45600D96"/>
    <w:rsid w:val="45637EA7"/>
    <w:rsid w:val="45EC43AA"/>
    <w:rsid w:val="46C81D3D"/>
    <w:rsid w:val="48374EDC"/>
    <w:rsid w:val="49455120"/>
    <w:rsid w:val="49633485"/>
    <w:rsid w:val="49823240"/>
    <w:rsid w:val="4C256E3D"/>
    <w:rsid w:val="4CB52F0F"/>
    <w:rsid w:val="4CCD14B5"/>
    <w:rsid w:val="4D4028C8"/>
    <w:rsid w:val="4E0872C4"/>
    <w:rsid w:val="4FF31694"/>
    <w:rsid w:val="51423ABD"/>
    <w:rsid w:val="51BC1893"/>
    <w:rsid w:val="51FC6284"/>
    <w:rsid w:val="53136BDE"/>
    <w:rsid w:val="5324245E"/>
    <w:rsid w:val="532F1F9A"/>
    <w:rsid w:val="5362334B"/>
    <w:rsid w:val="54AE4BA1"/>
    <w:rsid w:val="59937FBD"/>
    <w:rsid w:val="59995046"/>
    <w:rsid w:val="5B6E2EF0"/>
    <w:rsid w:val="5BBC1685"/>
    <w:rsid w:val="5CD218A3"/>
    <w:rsid w:val="5CFD670E"/>
    <w:rsid w:val="5D244CB4"/>
    <w:rsid w:val="5DC86102"/>
    <w:rsid w:val="5E995A3E"/>
    <w:rsid w:val="60BC2F2B"/>
    <w:rsid w:val="61B63A3E"/>
    <w:rsid w:val="62163194"/>
    <w:rsid w:val="624D024D"/>
    <w:rsid w:val="650E086A"/>
    <w:rsid w:val="6566250C"/>
    <w:rsid w:val="65B45875"/>
    <w:rsid w:val="664D28D4"/>
    <w:rsid w:val="684810BD"/>
    <w:rsid w:val="68836AB3"/>
    <w:rsid w:val="68ED0A34"/>
    <w:rsid w:val="691D4C03"/>
    <w:rsid w:val="6ADC5B99"/>
    <w:rsid w:val="6BAA0708"/>
    <w:rsid w:val="6CA00D50"/>
    <w:rsid w:val="6CD2390C"/>
    <w:rsid w:val="6D57122A"/>
    <w:rsid w:val="6DB923D2"/>
    <w:rsid w:val="6F0553DA"/>
    <w:rsid w:val="6FE411FE"/>
    <w:rsid w:val="704108CC"/>
    <w:rsid w:val="71990C74"/>
    <w:rsid w:val="71CF580F"/>
    <w:rsid w:val="72085732"/>
    <w:rsid w:val="724D3FA9"/>
    <w:rsid w:val="72EA1073"/>
    <w:rsid w:val="736A009E"/>
    <w:rsid w:val="74B92FF0"/>
    <w:rsid w:val="7A4738B1"/>
    <w:rsid w:val="7B996F72"/>
    <w:rsid w:val="7BAF6447"/>
    <w:rsid w:val="7BDC67AC"/>
    <w:rsid w:val="7C833DB3"/>
    <w:rsid w:val="7E30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71"/>
    <w:basedOn w:val="6"/>
    <w:uiPriority w:val="0"/>
    <w:rPr>
      <w:rFonts w:hint="eastAsia" w:ascii="宋体" w:hAnsi="宋体" w:eastAsia="宋体" w:cs="宋体"/>
      <w:color w:val="000000"/>
      <w:sz w:val="18"/>
      <w:szCs w:val="18"/>
      <w:u w:val="none"/>
    </w:rPr>
  </w:style>
  <w:style w:type="character" w:customStyle="1" w:styleId="12">
    <w:name w:val="font31"/>
    <w:basedOn w:val="6"/>
    <w:uiPriority w:val="0"/>
    <w:rPr>
      <w:rFonts w:hint="eastAsia" w:ascii="宋体" w:hAnsi="宋体" w:eastAsia="宋体" w:cs="宋体"/>
      <w:color w:val="000000"/>
      <w:sz w:val="20"/>
      <w:szCs w:val="20"/>
      <w:u w:val="none"/>
    </w:rPr>
  </w:style>
  <w:style w:type="character" w:customStyle="1" w:styleId="13">
    <w:name w:val="font13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9</TotalTime>
  <ScaleCrop>false</ScaleCrop>
  <LinksUpToDate>false</LinksUpToDate>
  <CharactersWithSpaces>8540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Alice Miller</cp:lastModifiedBy>
  <cp:lastPrinted>2021-08-02T02:21:00Z</cp:lastPrinted>
  <dcterms:modified xsi:type="dcterms:W3CDTF">2021-08-04T00:49:16Z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8525ACE465E343D0910EF6BCBC818E3C</vt:lpwstr>
  </property>
</Properties>
</file>