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工商联</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bookmarkStart w:id="0" w:name="_GoBack"/>
      <w:bookmarkEnd w:id="0"/>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柳州市工商联</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柳州市工商联</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柳州市工商联</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柳州市工商联</w:t>
      </w:r>
      <w:r>
        <w:rPr>
          <w:rFonts w:hint="eastAsia" w:ascii="仿宋_GB2312" w:eastAsia="仿宋_GB2312"/>
          <w:b/>
          <w:sz w:val="32"/>
          <w:szCs w:val="32"/>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hAnsi="黑体" w:eastAsia="仿宋_GB2312"/>
          <w:color w:val="000000"/>
          <w:sz w:val="30"/>
          <w:szCs w:val="30"/>
          <w:lang w:eastAsia="zh-CN"/>
        </w:rPr>
      </w:pPr>
      <w:r>
        <w:rPr>
          <w:rFonts w:hint="eastAsia" w:ascii="仿宋_GB2312" w:hAnsi="黑体" w:eastAsia="仿宋_GB2312"/>
          <w:color w:val="000000"/>
          <w:sz w:val="30"/>
          <w:szCs w:val="30"/>
          <w:lang w:eastAsia="zh-CN"/>
        </w:rPr>
        <w:t>加强和促进非公有制经济人士思想政治工作；开展理想信念教育，宣传表彰先进典型，引导开展回馈社会，参与“百企扶百村”等光彩事业活动。参与政治协商，发挥民主监督作用，参政议政；做好非公代表人士的发现、培养、推荐和管理工作。关心和</w:t>
      </w:r>
      <w:r>
        <w:rPr>
          <w:rFonts w:hint="eastAsia" w:ascii="仿宋_GB2312" w:hAnsi="黑体" w:eastAsia="仿宋_GB2312"/>
          <w:color w:val="000000"/>
          <w:sz w:val="30"/>
          <w:szCs w:val="30"/>
        </w:rPr>
        <w:t>慰问</w:t>
      </w:r>
      <w:r>
        <w:rPr>
          <w:rFonts w:hint="eastAsia" w:ascii="仿宋_GB2312" w:hAnsi="黑体" w:eastAsia="仿宋_GB2312"/>
          <w:color w:val="000000"/>
          <w:sz w:val="30"/>
          <w:szCs w:val="30"/>
          <w:lang w:eastAsia="zh-CN"/>
        </w:rPr>
        <w:t>原</w:t>
      </w:r>
      <w:r>
        <w:rPr>
          <w:rFonts w:hint="eastAsia" w:ascii="仿宋_GB2312" w:hAnsi="黑体" w:eastAsia="仿宋_GB2312"/>
          <w:color w:val="000000"/>
          <w:sz w:val="30"/>
          <w:szCs w:val="30"/>
        </w:rPr>
        <w:t>工商业者</w:t>
      </w:r>
      <w:r>
        <w:rPr>
          <w:rFonts w:hint="eastAsia" w:ascii="仿宋_GB2312" w:hAnsi="黑体" w:eastAsia="仿宋_GB2312"/>
          <w:color w:val="000000"/>
          <w:sz w:val="30"/>
          <w:szCs w:val="30"/>
          <w:lang w:eastAsia="zh-CN"/>
        </w:rPr>
        <w:t>。</w:t>
      </w:r>
      <w:r>
        <w:rPr>
          <w:rFonts w:hint="eastAsia" w:ascii="仿宋_GB2312" w:hAnsi="黑体" w:eastAsia="仿宋_GB2312"/>
          <w:color w:val="000000"/>
          <w:sz w:val="30"/>
          <w:szCs w:val="30"/>
        </w:rPr>
        <w:t>开展为会员服务的工作,法律咨询,培训等,与港澳及海内外商会联系交流,参加与组织招商会、展销会</w:t>
      </w:r>
      <w:r>
        <w:rPr>
          <w:rFonts w:hint="eastAsia" w:ascii="仿宋_GB2312" w:hAnsi="黑体" w:eastAsia="仿宋_GB2312"/>
          <w:color w:val="000000"/>
          <w:sz w:val="30"/>
          <w:szCs w:val="30"/>
          <w:lang w:eastAsia="zh-CN"/>
        </w:rPr>
        <w:t>。促进行业协会商会改革，对所属商会进行指导、引导和服务。参与协调劳动关系、协同社会治理，促进社会和谐稳定。引导非公企业和非公经济人士依法诚信经营；参与经济纠纷的调解、仲裁。</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机构和人员情况表</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right"/>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单位：人</w:t>
      </w:r>
    </w:p>
    <w:tbl>
      <w:tblPr>
        <w:tblStyle w:val="4"/>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2399"/>
        <w:gridCol w:w="1270"/>
        <w:gridCol w:w="488"/>
        <w:gridCol w:w="799"/>
        <w:gridCol w:w="799"/>
        <w:gridCol w:w="623"/>
        <w:gridCol w:w="655"/>
        <w:gridCol w:w="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2399"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单位名称</w:t>
            </w:r>
          </w:p>
        </w:tc>
        <w:tc>
          <w:tcPr>
            <w:tcW w:w="127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单位性质</w:t>
            </w:r>
          </w:p>
        </w:tc>
        <w:tc>
          <w:tcPr>
            <w:tcW w:w="488"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编制人数</w:t>
            </w:r>
          </w:p>
        </w:tc>
        <w:tc>
          <w:tcPr>
            <w:tcW w:w="799"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实有在职人数</w:t>
            </w:r>
          </w:p>
        </w:tc>
        <w:tc>
          <w:tcPr>
            <w:tcW w:w="799"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离休</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right w:w="1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退休</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c>
          <w:tcPr>
            <w:tcW w:w="65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聘用人数</w:t>
            </w:r>
          </w:p>
        </w:tc>
        <w:tc>
          <w:tcPr>
            <w:tcW w:w="650" w:type="dxa"/>
            <w:tcBorders>
              <w:top w:val="single" w:color="auto" w:sz="4" w:space="0"/>
              <w:left w:val="single" w:color="auto" w:sz="4" w:space="0"/>
              <w:bottom w:val="single" w:color="auto" w:sz="4" w:space="0"/>
              <w:right w:val="single" w:color="auto" w:sz="4" w:space="0"/>
            </w:tcBorders>
            <w:noWrap w:val="0"/>
            <w:tcMar>
              <w:left w:w="20" w:type="dxa"/>
              <w:right w:w="3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遗属</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2399"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柳州市工商业联合会</w:t>
            </w:r>
          </w:p>
        </w:tc>
        <w:tc>
          <w:tcPr>
            <w:tcW w:w="127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行政</w:t>
            </w:r>
          </w:p>
        </w:tc>
        <w:tc>
          <w:tcPr>
            <w:tcW w:w="488"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7"/>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12</w:t>
            </w:r>
          </w:p>
        </w:tc>
        <w:tc>
          <w:tcPr>
            <w:tcW w:w="799"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7"/>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13</w:t>
            </w:r>
          </w:p>
        </w:tc>
        <w:tc>
          <w:tcPr>
            <w:tcW w:w="799"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right w:w="1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default"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12</w:t>
            </w:r>
          </w:p>
        </w:tc>
        <w:tc>
          <w:tcPr>
            <w:tcW w:w="655" w:type="dxa"/>
            <w:tcBorders>
              <w:left w:val="single" w:color="auto" w:sz="4" w:space="0"/>
              <w:bottom w:val="single" w:color="auto" w:sz="4" w:space="0"/>
              <w:right w:val="single" w:color="auto" w:sz="4" w:space="0"/>
            </w:tcBorders>
            <w:noWrap w:val="0"/>
            <w:tcMar>
              <w:left w:w="20" w:type="dxa"/>
            </w:tcMar>
            <w:vAlign w:val="center"/>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650" w:type="dxa"/>
            <w:tcBorders>
              <w:left w:val="single" w:color="auto" w:sz="4" w:space="0"/>
              <w:bottom w:val="single" w:color="auto" w:sz="4" w:space="0"/>
              <w:right w:val="single" w:color="auto" w:sz="4" w:space="0"/>
            </w:tcBorders>
            <w:noWrap w:val="0"/>
            <w:tcMar>
              <w:left w:w="20" w:type="dxa"/>
              <w:right w:w="30" w:type="dxa"/>
            </w:tcMar>
            <w:vAlign w:val="top"/>
          </w:tcPr>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lang w:val="en-US"/>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firstLine="0"/>
        <w:jc w:val="both"/>
        <w:rPr>
          <w:rFonts w:ascii="仿宋_GB2312" w:eastAsia="仿宋_GB2312"/>
          <w:b/>
          <w:sz w:val="32"/>
          <w:szCs w:val="32"/>
        </w:rPr>
      </w:pPr>
      <w:r>
        <w:rPr>
          <w:rFonts w:hint="eastAsia" w:ascii="仿宋_GB2312" w:eastAsia="仿宋_GB2312"/>
          <w:b/>
          <w:sz w:val="32"/>
          <w:szCs w:val="32"/>
        </w:rPr>
        <w:t>第二部分：柳州市工商联</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jc w:val="center"/>
        <w:rPr>
          <w:rFonts w:hint="eastAsia"/>
        </w:rPr>
      </w:pPr>
    </w:p>
    <w:p>
      <w:pPr>
        <w:rPr>
          <w:rFonts w:hint="eastAsia"/>
        </w:rPr>
      </w:pPr>
    </w:p>
    <w:tbl>
      <w:tblPr>
        <w:tblStyle w:val="4"/>
        <w:tblW w:w="0" w:type="auto"/>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noWrap w:val="0"/>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429.32</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327.62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w:t>
            </w:r>
            <w:r>
              <w:rPr>
                <w:rFonts w:hint="eastAsia" w:ascii="宋体" w:hAnsi="宋体" w:cs="宋体"/>
                <w:color w:val="000000"/>
                <w:kern w:val="0"/>
                <w:sz w:val="22"/>
                <w:szCs w:val="22"/>
                <w:lang w:val="en-US" w:eastAsia="zh-CN"/>
              </w:rPr>
              <w:t>0.0</w:t>
            </w: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七、医疗卫生与计划生育支出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24.83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19.56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429.32</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412.03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16.76</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34.05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446.08</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446.08</w:t>
            </w:r>
          </w:p>
        </w:tc>
      </w:tr>
    </w:tbl>
    <w:p>
      <w:pPr>
        <w:rPr>
          <w:rFonts w:hint="eastAsia"/>
        </w:rPr>
      </w:pPr>
      <w:r>
        <w:rPr>
          <w:rFonts w:hint="eastAsia"/>
        </w:rPr>
        <w:t>注：本表反映部门本年度的总收支和年末结转结余情况。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2520" w:firstLineChars="700"/>
        <w:jc w:val="both"/>
        <w:rPr>
          <w:rFonts w:hint="eastAsia" w:ascii="方正小标宋简体" w:hAnsi="宋体" w:eastAsia="方正小标宋简体" w:cs="宋体"/>
          <w:kern w:val="0"/>
          <w:sz w:val="36"/>
          <w:szCs w:val="36"/>
          <w:lang w:val="en-US" w:eastAsia="zh-CN"/>
        </w:rPr>
      </w:pPr>
      <w:r>
        <w:rPr>
          <w:rFonts w:hint="eastAsia" w:ascii="方正小标宋简体" w:hAnsi="宋体" w:eastAsia="方正小标宋简体" w:cs="宋体"/>
          <w:kern w:val="0"/>
          <w:sz w:val="36"/>
          <w:szCs w:val="36"/>
        </w:rPr>
        <w:t>表二：收入决算表</w:t>
      </w:r>
      <w:r>
        <w:rPr>
          <w:rFonts w:hint="eastAsia" w:ascii="方正小标宋简体" w:hAnsi="宋体" w:eastAsia="方正小标宋简体" w:cs="宋体"/>
          <w:kern w:val="0"/>
          <w:sz w:val="36"/>
          <w:szCs w:val="36"/>
          <w:lang w:val="en-US" w:eastAsia="zh-CN"/>
        </w:rPr>
        <w:t xml:space="preserve">             </w:t>
      </w:r>
    </w:p>
    <w:p>
      <w:pPr>
        <w:ind w:firstLine="7480" w:firstLineChars="3400"/>
        <w:jc w:val="both"/>
        <w:rPr>
          <w:rFonts w:hint="eastAsia"/>
        </w:rPr>
      </w:pPr>
      <w:r>
        <w:rPr>
          <w:rFonts w:hint="eastAsia"/>
          <w:sz w:val="22"/>
          <w:szCs w:val="22"/>
        </w:rPr>
        <w:t xml:space="preserve">单位：万元 </w:t>
      </w:r>
    </w:p>
    <w:tbl>
      <w:tblPr>
        <w:tblStyle w:val="4"/>
        <w:tblpPr w:leftFromText="180" w:rightFromText="180" w:vertAnchor="text" w:horzAnchor="page" w:tblpX="754" w:tblpY="116"/>
        <w:tblOverlap w:val="never"/>
        <w:tblW w:w="9637" w:type="dxa"/>
        <w:tblInd w:w="0" w:type="dxa"/>
        <w:shd w:val="clear" w:color="auto" w:fill="auto"/>
        <w:tblLayout w:type="fixed"/>
        <w:tblCellMar>
          <w:top w:w="0" w:type="dxa"/>
          <w:left w:w="0" w:type="dxa"/>
          <w:bottom w:w="0" w:type="dxa"/>
          <w:right w:w="0" w:type="dxa"/>
        </w:tblCellMar>
      </w:tblPr>
      <w:tblGrid>
        <w:gridCol w:w="640"/>
        <w:gridCol w:w="269"/>
        <w:gridCol w:w="274"/>
        <w:gridCol w:w="2198"/>
        <w:gridCol w:w="2040"/>
        <w:gridCol w:w="1184"/>
        <w:gridCol w:w="469"/>
        <w:gridCol w:w="525"/>
        <w:gridCol w:w="442"/>
        <w:gridCol w:w="442"/>
        <w:gridCol w:w="573"/>
        <w:gridCol w:w="581"/>
      </w:tblGrid>
      <w:tr>
        <w:tblPrEx>
          <w:tblCellMar>
            <w:top w:w="0" w:type="dxa"/>
            <w:left w:w="0" w:type="dxa"/>
            <w:bottom w:w="0" w:type="dxa"/>
            <w:right w:w="0" w:type="dxa"/>
          </w:tblCellMar>
        </w:tblPrEx>
        <w:trPr>
          <w:trHeight w:val="330" w:hRule="atLeast"/>
        </w:trPr>
        <w:tc>
          <w:tcPr>
            <w:tcW w:w="33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0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1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4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6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44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5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81"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30" w:hRule="atLeast"/>
        </w:trPr>
        <w:tc>
          <w:tcPr>
            <w:tcW w:w="118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219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0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其中：教育收费</w:t>
            </w:r>
          </w:p>
        </w:tc>
        <w:tc>
          <w:tcPr>
            <w:tcW w:w="4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80" w:hRule="atLeast"/>
        </w:trPr>
        <w:tc>
          <w:tcPr>
            <w:tcW w:w="118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4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6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81"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330" w:hRule="atLeast"/>
        </w:trPr>
        <w:tc>
          <w:tcPr>
            <w:tcW w:w="64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429.32</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429.32</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332.24</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332.24</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民主党派及工商联事务</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332.24</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332.24</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2012801</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225.89</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225.89</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2012802</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20.55</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20.55</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2012804</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参政议政</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85.80</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85.80</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39.92</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39.92</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39.92</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39.92</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11.53</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11.53</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28.39</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28.39</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37.60</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37.60</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37.60</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37.60</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25.37</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25.37</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18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4" w:hRule="atLeast"/>
        </w:trPr>
        <w:tc>
          <w:tcPr>
            <w:tcW w:w="1183" w:type="dxa"/>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19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04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1184"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469"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jc w:val="right"/>
        <w:rPr>
          <w:rFonts w:hint="eastAsia"/>
        </w:rPr>
      </w:pPr>
      <w:r>
        <w:rPr>
          <w:rFonts w:hint="eastAsia"/>
          <w:sz w:val="22"/>
          <w:szCs w:val="22"/>
        </w:rPr>
        <w:t xml:space="preserve">                    </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3240" w:firstLineChars="900"/>
        <w:rPr>
          <w:rFonts w:hint="eastAsia" w:ascii="方正小标宋简体" w:hAnsi="宋体" w:eastAsia="方正小标宋简体" w:cs="宋体"/>
          <w:kern w:val="0"/>
          <w:sz w:val="36"/>
          <w:szCs w:val="36"/>
          <w:lang w:val="en-US" w:eastAsia="zh-CN"/>
        </w:rPr>
      </w:pPr>
      <w:r>
        <w:rPr>
          <w:rFonts w:hint="eastAsia" w:ascii="方正小标宋简体" w:hAnsi="宋体" w:eastAsia="方正小标宋简体" w:cs="宋体"/>
          <w:kern w:val="0"/>
          <w:sz w:val="36"/>
          <w:szCs w:val="36"/>
        </w:rPr>
        <w:t>表三：支出决算表</w:t>
      </w:r>
      <w:r>
        <w:rPr>
          <w:rFonts w:hint="eastAsia" w:ascii="方正小标宋简体" w:hAnsi="宋体" w:eastAsia="方正小标宋简体" w:cs="宋体"/>
          <w:kern w:val="0"/>
          <w:sz w:val="36"/>
          <w:szCs w:val="36"/>
          <w:lang w:val="en-US" w:eastAsia="zh-CN"/>
        </w:rPr>
        <w:t xml:space="preserve">         </w:t>
      </w:r>
    </w:p>
    <w:p>
      <w:pPr>
        <w:ind w:firstLine="7700" w:firstLineChars="3500"/>
        <w:rPr>
          <w:rFonts w:hint="eastAsia"/>
        </w:rPr>
      </w:pPr>
      <w:r>
        <w:rPr>
          <w:rFonts w:hint="eastAsia"/>
          <w:sz w:val="22"/>
          <w:szCs w:val="22"/>
        </w:rPr>
        <w:t>单位：万元</w:t>
      </w:r>
    </w:p>
    <w:tbl>
      <w:tblPr>
        <w:tblStyle w:val="4"/>
        <w:tblW w:w="9296" w:type="dxa"/>
        <w:tblInd w:w="0" w:type="dxa"/>
        <w:shd w:val="clear" w:color="auto" w:fill="auto"/>
        <w:tblLayout w:type="fixed"/>
        <w:tblCellMar>
          <w:top w:w="0" w:type="dxa"/>
          <w:left w:w="0" w:type="dxa"/>
          <w:bottom w:w="0" w:type="dxa"/>
          <w:right w:w="0" w:type="dxa"/>
        </w:tblCellMar>
      </w:tblPr>
      <w:tblGrid>
        <w:gridCol w:w="205"/>
        <w:gridCol w:w="205"/>
        <w:gridCol w:w="399"/>
        <w:gridCol w:w="3122"/>
        <w:gridCol w:w="769"/>
        <w:gridCol w:w="885"/>
        <w:gridCol w:w="891"/>
        <w:gridCol w:w="1016"/>
        <w:gridCol w:w="851"/>
        <w:gridCol w:w="953"/>
      </w:tblGrid>
      <w:tr>
        <w:tblPrEx>
          <w:shd w:val="clear" w:color="auto" w:fill="auto"/>
          <w:tblCellMar>
            <w:top w:w="0" w:type="dxa"/>
            <w:left w:w="0" w:type="dxa"/>
            <w:bottom w:w="0" w:type="dxa"/>
            <w:right w:w="0" w:type="dxa"/>
          </w:tblCellMar>
        </w:tblPrEx>
        <w:trPr>
          <w:trHeight w:val="315" w:hRule="atLeast"/>
        </w:trPr>
        <w:tc>
          <w:tcPr>
            <w:tcW w:w="393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8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9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1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953"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15" w:hRule="atLeast"/>
        </w:trPr>
        <w:tc>
          <w:tcPr>
            <w:tcW w:w="80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312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2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1" w:hRule="atLeast"/>
        </w:trPr>
        <w:tc>
          <w:tcPr>
            <w:tcW w:w="80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2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20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0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9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5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15" w:hRule="atLeast"/>
        </w:trPr>
        <w:tc>
          <w:tcPr>
            <w:tcW w:w="2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412.04</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308.14</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327.62</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223.73</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民主党派及工商联事务</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327.62</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223.73</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2012801</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223.73</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223.73</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2012802</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18.84</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18.84</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2012804</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参政议政</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85.05</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85.05</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40.02</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40.02</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40.02</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40.02</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6"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28.39</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28.39</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24.83</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24.83</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24.83</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24.83</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12.61</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12.61</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5" w:hRule="atLeast"/>
        </w:trPr>
        <w:tc>
          <w:tcPr>
            <w:tcW w:w="80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7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809" w:type="dxa"/>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12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769"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88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89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eastAsia"/>
        </w:rPr>
      </w:pPr>
    </w:p>
    <w:p>
      <w:pPr>
        <w:rPr>
          <w:rFonts w:hint="eastAsia"/>
        </w:rPr>
      </w:pPr>
      <w:r>
        <w:rPr>
          <w:rFonts w:hint="eastAsia"/>
          <w:lang w:eastAsia="zh-CN"/>
        </w:rPr>
        <w:t>注：本表反映部门本年度各项支出情况。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2160" w:firstLineChars="600"/>
        <w:jc w:val="both"/>
        <w:rPr>
          <w:rFonts w:hint="eastAsia" w:ascii="方正小标宋简体" w:hAnsi="宋体" w:eastAsia="方正小标宋简体" w:cs="宋体"/>
          <w:kern w:val="0"/>
          <w:sz w:val="36"/>
          <w:szCs w:val="36"/>
          <w:lang w:val="en-US" w:eastAsia="zh-CN"/>
        </w:rPr>
      </w:pPr>
      <w:r>
        <w:rPr>
          <w:rFonts w:hint="eastAsia" w:ascii="方正小标宋简体" w:hAnsi="宋体" w:eastAsia="方正小标宋简体" w:cs="宋体"/>
          <w:kern w:val="0"/>
          <w:sz w:val="36"/>
          <w:szCs w:val="36"/>
        </w:rPr>
        <w:t>表四：财政拨款收入支出决算总表</w:t>
      </w:r>
      <w:r>
        <w:rPr>
          <w:rFonts w:hint="eastAsia" w:ascii="方正小标宋简体" w:hAnsi="宋体" w:eastAsia="方正小标宋简体" w:cs="宋体"/>
          <w:kern w:val="0"/>
          <w:sz w:val="36"/>
          <w:szCs w:val="36"/>
          <w:lang w:val="en-US" w:eastAsia="zh-CN"/>
        </w:rPr>
        <w:t xml:space="preserve"> </w:t>
      </w:r>
    </w:p>
    <w:p>
      <w:pPr>
        <w:ind w:firstLine="7700" w:firstLineChars="3500"/>
        <w:jc w:val="both"/>
        <w:rPr>
          <w:rFonts w:hint="eastAsia"/>
          <w:sz w:val="22"/>
          <w:szCs w:val="22"/>
        </w:rPr>
      </w:pPr>
      <w:r>
        <w:rPr>
          <w:rFonts w:hint="eastAsia"/>
          <w:sz w:val="22"/>
          <w:szCs w:val="22"/>
        </w:rPr>
        <w:t>单位：万元</w:t>
      </w:r>
    </w:p>
    <w:tbl>
      <w:tblPr>
        <w:tblStyle w:val="4"/>
        <w:tblW w:w="9259" w:type="dxa"/>
        <w:tblInd w:w="0" w:type="dxa"/>
        <w:shd w:val="clear" w:color="auto" w:fill="auto"/>
        <w:tblLayout w:type="autofit"/>
        <w:tblCellMar>
          <w:top w:w="0" w:type="dxa"/>
          <w:left w:w="0" w:type="dxa"/>
          <w:bottom w:w="0" w:type="dxa"/>
          <w:right w:w="0" w:type="dxa"/>
        </w:tblCellMar>
      </w:tblPr>
      <w:tblGrid>
        <w:gridCol w:w="2164"/>
        <w:gridCol w:w="392"/>
        <w:gridCol w:w="1063"/>
        <w:gridCol w:w="2248"/>
        <w:gridCol w:w="395"/>
        <w:gridCol w:w="832"/>
        <w:gridCol w:w="1077"/>
        <w:gridCol w:w="1088"/>
      </w:tblGrid>
      <w:tr>
        <w:tblPrEx>
          <w:shd w:val="clear" w:color="auto" w:fill="auto"/>
          <w:tblCellMar>
            <w:top w:w="0" w:type="dxa"/>
            <w:left w:w="0" w:type="dxa"/>
            <w:bottom w:w="0" w:type="dxa"/>
            <w:right w:w="0" w:type="dxa"/>
          </w:tblCellMar>
        </w:tblPrEx>
        <w:trPr>
          <w:trHeight w:val="348" w:hRule="atLeast"/>
        </w:trPr>
        <w:tc>
          <w:tcPr>
            <w:tcW w:w="3619"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ascii="MingLiU" w:hAnsi="MingLiU" w:eastAsia="MingLiU" w:cs="MingLiU"/>
                <w:i w:val="0"/>
                <w:color w:val="000000"/>
                <w:sz w:val="22"/>
                <w:szCs w:val="22"/>
                <w:u w:val="none"/>
              </w:rPr>
            </w:pPr>
            <w:r>
              <w:rPr>
                <w:rFonts w:hint="eastAsia" w:ascii="MingLiU" w:hAnsi="MingLiU" w:eastAsia="MingLiU" w:cs="MingLiU"/>
                <w:i w:val="0"/>
                <w:color w:val="000000"/>
                <w:kern w:val="0"/>
                <w:sz w:val="22"/>
                <w:szCs w:val="22"/>
                <w:u w:val="none"/>
                <w:lang w:val="en-US" w:eastAsia="zh-CN" w:bidi="ar"/>
              </w:rPr>
              <w:t>收 入</w:t>
            </w:r>
          </w:p>
        </w:tc>
        <w:tc>
          <w:tcPr>
            <w:tcW w:w="5640"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MingLiU" w:hAnsi="MingLiU" w:eastAsia="MingLiU" w:cs="MingLiU"/>
                <w:i w:val="0"/>
                <w:color w:val="000000"/>
                <w:sz w:val="22"/>
                <w:szCs w:val="22"/>
                <w:u w:val="none"/>
              </w:rPr>
            </w:pPr>
            <w:r>
              <w:rPr>
                <w:rFonts w:hint="eastAsia" w:ascii="MingLiU" w:hAnsi="MingLiU" w:eastAsia="MingLiU" w:cs="MingLiU"/>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942"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4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639"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429.32 </w:t>
            </w: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327.62 </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327.62 </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9"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9"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五、文化体育与传媒支出</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39"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40.02 </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40.02 </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9"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七、医疗卫生与计划生育支出</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24.83 </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24.83 </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八、住房保障支出</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19.56 </w:t>
            </w: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19.56 </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7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9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429.32 </w:t>
            </w: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9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412.03 </w:t>
            </w:r>
          </w:p>
        </w:tc>
      </w:tr>
      <w:tr>
        <w:tblPrEx>
          <w:shd w:val="clear" w:color="auto" w:fill="auto"/>
          <w:tblCellMar>
            <w:top w:w="0" w:type="dxa"/>
            <w:left w:w="0" w:type="dxa"/>
            <w:bottom w:w="0" w:type="dxa"/>
            <w:right w:w="0" w:type="dxa"/>
          </w:tblCellMar>
        </w:tblPrEx>
        <w:trPr>
          <w:trHeight w:val="639"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16.76 </w:t>
            </w: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9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34.05 </w:t>
            </w:r>
          </w:p>
        </w:tc>
      </w:tr>
      <w:tr>
        <w:tblPrEx>
          <w:tblCellMar>
            <w:top w:w="0" w:type="dxa"/>
            <w:left w:w="0" w:type="dxa"/>
            <w:bottom w:w="0" w:type="dxa"/>
            <w:right w:w="0" w:type="dxa"/>
          </w:tblCellMar>
        </w:tblPrEx>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16.76 </w:t>
            </w: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9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9"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9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7"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9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56" w:hRule="atLeast"/>
        </w:trPr>
        <w:tc>
          <w:tcPr>
            <w:tcW w:w="216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92"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6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446.08 </w:t>
            </w:r>
          </w:p>
        </w:tc>
        <w:tc>
          <w:tcPr>
            <w:tcW w:w="224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9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446.08 </w:t>
            </w:r>
          </w:p>
        </w:tc>
      </w:tr>
    </w:tbl>
    <w:p>
      <w:pPr>
        <w:jc w:val="right"/>
        <w:rPr>
          <w:rFonts w:hint="eastAsia"/>
          <w:sz w:val="22"/>
          <w:szCs w:val="22"/>
        </w:rPr>
      </w:pPr>
    </w:p>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800" w:firstLineChars="500"/>
        <w:jc w:val="both"/>
        <w:rPr>
          <w:rFonts w:hint="eastAsia" w:ascii="宋体" w:hAnsi="宋体" w:cs="宋体"/>
          <w:kern w:val="0"/>
          <w:sz w:val="22"/>
          <w:szCs w:val="22"/>
          <w:lang w:val="en-US" w:eastAsia="zh-CN"/>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r>
        <w:rPr>
          <w:rFonts w:hint="eastAsia" w:ascii="宋体" w:hAnsi="宋体" w:cs="宋体"/>
          <w:kern w:val="0"/>
          <w:sz w:val="22"/>
          <w:szCs w:val="22"/>
          <w:lang w:val="en-US" w:eastAsia="zh-CN"/>
        </w:rPr>
        <w:t xml:space="preserve"> </w:t>
      </w:r>
    </w:p>
    <w:p>
      <w:pPr>
        <w:ind w:firstLine="7480" w:firstLineChars="3400"/>
        <w:jc w:val="both"/>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8858" w:type="dxa"/>
        <w:tblInd w:w="178" w:type="dxa"/>
        <w:shd w:val="clear" w:color="auto" w:fill="auto"/>
        <w:tblLayout w:type="autofit"/>
        <w:tblCellMar>
          <w:top w:w="0" w:type="dxa"/>
          <w:left w:w="0" w:type="dxa"/>
          <w:bottom w:w="0" w:type="dxa"/>
          <w:right w:w="0" w:type="dxa"/>
        </w:tblCellMar>
      </w:tblPr>
      <w:tblGrid>
        <w:gridCol w:w="1421"/>
        <w:gridCol w:w="2913"/>
        <w:gridCol w:w="1546"/>
        <w:gridCol w:w="1331"/>
        <w:gridCol w:w="1647"/>
      </w:tblGrid>
      <w:tr>
        <w:tblPrEx>
          <w:shd w:val="clear" w:color="auto" w:fill="auto"/>
          <w:tblCellMar>
            <w:top w:w="0" w:type="dxa"/>
            <w:left w:w="0" w:type="dxa"/>
            <w:bottom w:w="0" w:type="dxa"/>
            <w:right w:w="0" w:type="dxa"/>
          </w:tblCellMar>
        </w:tblPrEx>
        <w:trPr>
          <w:trHeight w:val="280" w:hRule="atLeast"/>
        </w:trPr>
        <w:tc>
          <w:tcPr>
            <w:tcW w:w="43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w:t>
            </w:r>
            <w:r>
              <w:rPr>
                <w:rStyle w:val="8"/>
                <w:sz w:val="22"/>
                <w:szCs w:val="22"/>
                <w:lang w:val="en-US" w:eastAsia="zh-CN" w:bidi="ar"/>
              </w:rPr>
              <w:t>项 目</w:t>
            </w:r>
          </w:p>
        </w:tc>
        <w:tc>
          <w:tcPr>
            <w:tcW w:w="154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MingLiU" w:hAnsi="MingLiU" w:eastAsia="MingLiU" w:cs="MingLiU"/>
                <w:i w:val="0"/>
                <w:color w:val="000000"/>
                <w:sz w:val="22"/>
                <w:szCs w:val="22"/>
                <w:u w:val="none"/>
              </w:rPr>
            </w:pPr>
            <w:r>
              <w:rPr>
                <w:rFonts w:hint="eastAsia" w:ascii="MingLiU" w:hAnsi="MingLiU" w:eastAsia="MingLiU" w:cs="MingLiU"/>
                <w:i w:val="0"/>
                <w:color w:val="000000"/>
                <w:kern w:val="0"/>
                <w:sz w:val="22"/>
                <w:szCs w:val="22"/>
                <w:u w:val="none"/>
                <w:lang w:val="en-US" w:eastAsia="zh-CN" w:bidi="ar"/>
              </w:rPr>
              <w:t>合计</w:t>
            </w:r>
          </w:p>
        </w:tc>
        <w:tc>
          <w:tcPr>
            <w:tcW w:w="1331"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MingLiU" w:hAnsi="MingLiU" w:eastAsia="MingLiU" w:cs="MingLiU"/>
                <w:i w:val="0"/>
                <w:color w:val="000000"/>
                <w:sz w:val="22"/>
                <w:szCs w:val="22"/>
                <w:u w:val="none"/>
              </w:rPr>
            </w:pPr>
            <w:r>
              <w:rPr>
                <w:rFonts w:hint="eastAsia" w:ascii="MingLiU" w:hAnsi="MingLiU" w:eastAsia="MingLiU" w:cs="MingLiU"/>
                <w:i w:val="0"/>
                <w:color w:val="000000"/>
                <w:kern w:val="0"/>
                <w:sz w:val="22"/>
                <w:szCs w:val="22"/>
                <w:u w:val="none"/>
                <w:lang w:val="en-US" w:eastAsia="zh-CN" w:bidi="ar"/>
              </w:rPr>
              <w:t>基本支出</w:t>
            </w:r>
          </w:p>
        </w:tc>
        <w:tc>
          <w:tcPr>
            <w:tcW w:w="164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MingLiU" w:hAnsi="MingLiU" w:eastAsia="MingLiU" w:cs="MingLiU"/>
                <w:i w:val="0"/>
                <w:color w:val="000000"/>
                <w:sz w:val="22"/>
                <w:szCs w:val="22"/>
                <w:u w:val="none"/>
              </w:rPr>
            </w:pPr>
            <w:r>
              <w:rPr>
                <w:rFonts w:hint="eastAsia" w:ascii="MingLiU" w:hAnsi="MingLiU" w:eastAsia="MingLiU" w:cs="MingLiU"/>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80"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MingLiU" w:hAnsi="MingLiU" w:eastAsia="MingLiU" w:cs="MingLiU"/>
                <w:i w:val="0"/>
                <w:color w:val="000000"/>
                <w:sz w:val="22"/>
                <w:szCs w:val="22"/>
                <w:u w:val="none"/>
              </w:rPr>
            </w:pPr>
            <w:r>
              <w:rPr>
                <w:rFonts w:hint="eastAsia" w:ascii="MingLiU" w:hAnsi="MingLiU" w:eastAsia="MingLiU" w:cs="MingLiU"/>
                <w:i w:val="0"/>
                <w:color w:val="000000"/>
                <w:kern w:val="0"/>
                <w:sz w:val="22"/>
                <w:szCs w:val="22"/>
                <w:u w:val="none"/>
                <w:lang w:val="en-US" w:eastAsia="zh-CN" w:bidi="ar"/>
              </w:rPr>
              <w:t>科目编码</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MingLiU" w:hAnsi="MingLiU" w:eastAsia="MingLiU" w:cs="MingLiU"/>
                <w:i w:val="0"/>
                <w:color w:val="000000"/>
                <w:sz w:val="22"/>
                <w:szCs w:val="22"/>
                <w:u w:val="none"/>
              </w:rPr>
            </w:pPr>
            <w:r>
              <w:rPr>
                <w:rFonts w:hint="eastAsia" w:ascii="MingLiU" w:hAnsi="MingLiU" w:eastAsia="MingLiU" w:cs="MingLiU"/>
                <w:i w:val="0"/>
                <w:color w:val="000000"/>
                <w:kern w:val="0"/>
                <w:sz w:val="22"/>
                <w:szCs w:val="22"/>
                <w:u w:val="none"/>
                <w:lang w:val="en-US" w:eastAsia="zh-CN" w:bidi="ar"/>
              </w:rPr>
              <w:t>科目名称</w:t>
            </w:r>
          </w:p>
        </w:tc>
        <w:tc>
          <w:tcPr>
            <w:tcW w:w="154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MingLiU" w:hAnsi="MingLiU" w:eastAsia="MingLiU" w:cs="MingLiU"/>
                <w:i w:val="0"/>
                <w:color w:val="000000"/>
                <w:sz w:val="22"/>
                <w:szCs w:val="22"/>
                <w:u w:val="none"/>
              </w:rPr>
            </w:pPr>
          </w:p>
        </w:tc>
        <w:tc>
          <w:tcPr>
            <w:tcW w:w="1331"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MingLiU" w:hAnsi="MingLiU" w:eastAsia="MingLiU" w:cs="MingLiU"/>
                <w:i w:val="0"/>
                <w:color w:val="000000"/>
                <w:sz w:val="22"/>
                <w:szCs w:val="22"/>
                <w:u w:val="none"/>
              </w:rPr>
            </w:pPr>
          </w:p>
        </w:tc>
        <w:tc>
          <w:tcPr>
            <w:tcW w:w="164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MingLiU" w:hAnsi="MingLiU" w:eastAsia="MingLiU" w:cs="MingLiU"/>
                <w:i w:val="0"/>
                <w:color w:val="000000"/>
                <w:sz w:val="22"/>
                <w:szCs w:val="22"/>
                <w:u w:val="none"/>
              </w:rPr>
            </w:pPr>
          </w:p>
        </w:tc>
      </w:tr>
      <w:tr>
        <w:tblPrEx>
          <w:shd w:val="clear" w:color="auto" w:fill="auto"/>
          <w:tblCellMar>
            <w:top w:w="0" w:type="dxa"/>
            <w:left w:w="0" w:type="dxa"/>
            <w:bottom w:w="0" w:type="dxa"/>
            <w:right w:w="0" w:type="dxa"/>
          </w:tblCellMar>
        </w:tblPrEx>
        <w:trPr>
          <w:trHeight w:val="271" w:hRule="atLeast"/>
        </w:trPr>
        <w:tc>
          <w:tcPr>
            <w:tcW w:w="4334"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MingLiU" w:hAnsi="MingLiU" w:eastAsia="MingLiU" w:cs="MingLiU"/>
                <w:b/>
                <w:i w:val="0"/>
                <w:color w:val="000000"/>
                <w:sz w:val="22"/>
                <w:szCs w:val="22"/>
                <w:u w:val="none"/>
              </w:rPr>
            </w:pPr>
            <w:r>
              <w:rPr>
                <w:rFonts w:hint="eastAsia" w:ascii="MingLiU" w:hAnsi="MingLiU" w:eastAsia="MingLiU" w:cs="MingLiU"/>
                <w:b/>
                <w:i w:val="0"/>
                <w:color w:val="000000"/>
                <w:kern w:val="0"/>
                <w:sz w:val="22"/>
                <w:szCs w:val="22"/>
                <w:u w:val="none"/>
                <w:lang w:val="en-US" w:eastAsia="zh-CN" w:bidi="ar"/>
              </w:rPr>
              <w:t>栏次</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269" w:hRule="atLeast"/>
        </w:trPr>
        <w:tc>
          <w:tcPr>
            <w:tcW w:w="4334"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MingLiU" w:hAnsi="MingLiU" w:eastAsia="MingLiU" w:cs="MingLiU"/>
                <w:i w:val="0"/>
                <w:color w:val="000000"/>
                <w:sz w:val="22"/>
                <w:szCs w:val="22"/>
                <w:u w:val="none"/>
              </w:rPr>
            </w:pPr>
            <w:r>
              <w:rPr>
                <w:rFonts w:hint="eastAsia" w:ascii="MingLiU" w:hAnsi="MingLiU" w:eastAsia="MingLiU" w:cs="MingLiU"/>
                <w:i w:val="0"/>
                <w:color w:val="000000"/>
                <w:kern w:val="0"/>
                <w:sz w:val="22"/>
                <w:szCs w:val="22"/>
                <w:u w:val="none"/>
                <w:lang w:val="en-US" w:eastAsia="zh-CN" w:bidi="ar"/>
              </w:rPr>
              <w:t>合计</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412.04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308.14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103.89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327.62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223.73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103.89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民主党派及工商联事务</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327.62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223.73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103.89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2012801</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242.57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223.73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18.84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2012804</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参政议政</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85.05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85.05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40.02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40.02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40.02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40.02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归口管理的行政单位离退休</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11.63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11.63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464"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28.39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28.39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24.83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24.83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24.83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24.83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12.23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12.23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12.61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12.61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19.56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19.56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269"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19.56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19.56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shd w:val="clear" w:color="auto" w:fill="auto"/>
          <w:tblCellMar>
            <w:top w:w="0" w:type="dxa"/>
            <w:left w:w="0" w:type="dxa"/>
            <w:bottom w:w="0" w:type="dxa"/>
            <w:right w:w="0" w:type="dxa"/>
          </w:tblCellMar>
        </w:tblPrEx>
        <w:trPr>
          <w:trHeight w:val="308" w:hRule="atLeast"/>
        </w:trPr>
        <w:tc>
          <w:tcPr>
            <w:tcW w:w="14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2210201</w:t>
            </w:r>
          </w:p>
        </w:tc>
        <w:tc>
          <w:tcPr>
            <w:tcW w:w="291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w:t>
            </w:r>
            <w:r>
              <w:rPr>
                <w:rStyle w:val="9"/>
                <w:sz w:val="22"/>
                <w:szCs w:val="22"/>
                <w:lang w:val="en-US" w:eastAsia="zh-CN" w:bidi="ar"/>
              </w:rPr>
              <w:t>住房公积金</w:t>
            </w:r>
          </w:p>
        </w:tc>
        <w:tc>
          <w:tcPr>
            <w:tcW w:w="154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19.56 </w:t>
            </w:r>
          </w:p>
        </w:tc>
        <w:tc>
          <w:tcPr>
            <w:tcW w:w="1331"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19.56 </w:t>
            </w:r>
          </w:p>
        </w:tc>
        <w:tc>
          <w:tcPr>
            <w:tcW w:w="164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bl>
    <w:p>
      <w:pPr>
        <w:rPr>
          <w:rFonts w:hint="eastAsia"/>
        </w:rPr>
      </w:pPr>
    </w:p>
    <w:p>
      <w:pPr>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注：本表反映部门本年度一般公共预算财政拨款实际支出情况。</w:t>
      </w:r>
    </w:p>
    <w:p>
      <w:pP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420" w:rightChars="0"/>
        <w:jc w:val="right"/>
        <w:rPr>
          <w:rFonts w:hint="eastAsia" w:ascii="方正小标宋简体" w:hAnsi="宋体" w:eastAsia="方正小标宋简体" w:cs="宋体"/>
          <w:kern w:val="0"/>
          <w:sz w:val="36"/>
          <w:szCs w:val="36"/>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单位：万元</w:t>
      </w:r>
    </w:p>
    <w:tbl>
      <w:tblPr>
        <w:tblStyle w:val="4"/>
        <w:tblpPr w:leftFromText="180" w:rightFromText="180" w:vertAnchor="text" w:horzAnchor="page" w:tblpX="1075" w:tblpY="460"/>
        <w:tblOverlap w:val="never"/>
        <w:tblW w:w="10259" w:type="dxa"/>
        <w:tblInd w:w="0" w:type="dxa"/>
        <w:shd w:val="clear" w:color="auto" w:fill="auto"/>
        <w:tblLayout w:type="autofit"/>
        <w:tblCellMar>
          <w:top w:w="0" w:type="dxa"/>
          <w:left w:w="0" w:type="dxa"/>
          <w:bottom w:w="0" w:type="dxa"/>
          <w:right w:w="0" w:type="dxa"/>
        </w:tblCellMar>
      </w:tblPr>
      <w:tblGrid>
        <w:gridCol w:w="1022"/>
        <w:gridCol w:w="2516"/>
        <w:gridCol w:w="997"/>
        <w:gridCol w:w="1977"/>
        <w:gridCol w:w="2420"/>
        <w:gridCol w:w="1327"/>
      </w:tblGrid>
      <w:tr>
        <w:tblPrEx>
          <w:shd w:val="clear" w:color="auto" w:fill="auto"/>
          <w:tblCellMar>
            <w:top w:w="0" w:type="dxa"/>
            <w:left w:w="0" w:type="dxa"/>
            <w:bottom w:w="0" w:type="dxa"/>
            <w:right w:w="0" w:type="dxa"/>
          </w:tblCellMar>
        </w:tblPrEx>
        <w:trPr>
          <w:trHeight w:val="353" w:hRule="atLeast"/>
        </w:trPr>
        <w:tc>
          <w:tcPr>
            <w:tcW w:w="453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5724"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634"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280.09</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r>
              <w:rPr>
                <w:rStyle w:val="10"/>
                <w:lang w:val="en-US" w:eastAsia="zh-CN" w:bidi="ar"/>
              </w:rPr>
              <w:t>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16.42</w:t>
            </w: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r>
              <w:rPr>
                <w:rStyle w:val="10"/>
                <w:lang w:val="en-US" w:eastAsia="zh-CN" w:bidi="ar"/>
              </w:rPr>
              <w:t>基本工资</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134.95</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r>
              <w:rPr>
                <w:rStyle w:val="10"/>
                <w:lang w:val="en-US" w:eastAsia="zh-CN" w:bidi="ar"/>
              </w:rPr>
              <w:t>津贴补贴</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0.45</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0.05 </w:t>
            </w: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  　</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咨询费</w:t>
            </w:r>
            <w:r>
              <w:rPr>
                <w:rStyle w:val="10"/>
                <w:lang w:val="en-US" w:eastAsia="zh-CN" w:bidi="ar"/>
              </w:rPr>
              <w:t>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30104</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r>
              <w:rPr>
                <w:rStyle w:val="10"/>
                <w:lang w:val="en-US" w:eastAsia="zh-CN" w:bidi="ar"/>
              </w:rPr>
              <w:t>其他社会保障缴费</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r>
              <w:rPr>
                <w:rStyle w:val="10"/>
                <w:lang w:val="en-US" w:eastAsia="zh-CN" w:bidi="ar"/>
              </w:rPr>
              <w:t>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r>
              <w:rPr>
                <w:rStyle w:val="10"/>
                <w:lang w:val="en-US" w:eastAsia="zh-CN" w:bidi="ar"/>
              </w:rPr>
              <w:t>伙食补助费</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r>
              <w:rPr>
                <w:rStyle w:val="10"/>
                <w:lang w:val="en-US" w:eastAsia="zh-CN" w:bidi="ar"/>
              </w:rPr>
              <w:t>绩效工资</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r>
      <w:tr>
        <w:tblPrEx>
          <w:shd w:val="clear" w:color="auto" w:fill="auto"/>
          <w:tblCellMar>
            <w:top w:w="0" w:type="dxa"/>
            <w:left w:w="0" w:type="dxa"/>
            <w:bottom w:w="0" w:type="dxa"/>
            <w:right w:w="0" w:type="dxa"/>
          </w:tblCellMar>
        </w:tblPrEx>
        <w:trPr>
          <w:trHeight w:val="634"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机关事业单位基本养老保险缴费</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28.39</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r>
              <w:rPr>
                <w:rStyle w:val="10"/>
                <w:lang w:val="en-US" w:eastAsia="zh-CN" w:bidi="ar"/>
              </w:rPr>
              <w:t>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r>
              <w:rPr>
                <w:rStyle w:val="10"/>
                <w:lang w:val="en-US" w:eastAsia="zh-CN" w:bidi="ar"/>
              </w:rPr>
              <w:t>职业年金缴费</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r>
              <w:rPr>
                <w:rStyle w:val="10"/>
                <w:lang w:val="en-US" w:eastAsia="zh-CN" w:bidi="ar"/>
              </w:rPr>
              <w:t>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0.57</w:t>
            </w:r>
          </w:p>
        </w:tc>
      </w:tr>
      <w:tr>
        <w:tblPrEx>
          <w:shd w:val="clear" w:color="auto" w:fill="auto"/>
          <w:tblCellMar>
            <w:top w:w="0" w:type="dxa"/>
            <w:left w:w="0" w:type="dxa"/>
            <w:bottom w:w="0" w:type="dxa"/>
            <w:right w:w="0" w:type="dxa"/>
          </w:tblCellMar>
        </w:tblPrEx>
        <w:trPr>
          <w:trHeight w:val="368"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r>
              <w:rPr>
                <w:rStyle w:val="10"/>
                <w:lang w:val="en-US" w:eastAsia="zh-CN" w:bidi="ar"/>
              </w:rPr>
              <w:t>其他工资福利支出</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50</w:t>
            </w:r>
            <w:r>
              <w:rPr>
                <w:rFonts w:hint="eastAsia" w:ascii="宋体" w:hAnsi="宋体" w:cs="宋体"/>
                <w:i w:val="0"/>
                <w:color w:val="000000"/>
                <w:kern w:val="0"/>
                <w:sz w:val="22"/>
                <w:szCs w:val="22"/>
                <w:u w:val="none"/>
                <w:lang w:val="en-US" w:eastAsia="zh-CN" w:bidi="ar"/>
              </w:rPr>
              <w:t>.01</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3.16</w:t>
            </w: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对个人家庭的补助</w:t>
            </w:r>
            <w:r>
              <w:rPr>
                <w:rStyle w:val="10"/>
                <w:lang w:val="en-US" w:eastAsia="zh-CN" w:bidi="ar"/>
              </w:rPr>
              <w:t>　</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11.6</w:t>
            </w:r>
            <w:r>
              <w:rPr>
                <w:rFonts w:hint="eastAsia" w:ascii="宋体" w:hAnsi="宋体" w:cs="宋体"/>
                <w:i w:val="0"/>
                <w:color w:val="000000"/>
                <w:kern w:val="0"/>
                <w:sz w:val="22"/>
                <w:szCs w:val="22"/>
                <w:u w:val="none"/>
                <w:lang w:val="en-US" w:eastAsia="zh-CN" w:bidi="ar"/>
              </w:rPr>
              <w:t>3</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r>
              <w:rPr>
                <w:rStyle w:val="10"/>
                <w:lang w:val="en-US" w:eastAsia="zh-CN" w:bidi="ar"/>
              </w:rPr>
              <w:t>　</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11.6</w:t>
            </w:r>
            <w:r>
              <w:rPr>
                <w:rFonts w:hint="eastAsia" w:ascii="宋体" w:hAnsi="宋体" w:cs="宋体"/>
                <w:i w:val="0"/>
                <w:color w:val="000000"/>
                <w:kern w:val="0"/>
                <w:sz w:val="22"/>
                <w:szCs w:val="22"/>
                <w:u w:val="none"/>
                <w:lang w:val="en-US" w:eastAsia="zh-CN" w:bidi="ar"/>
              </w:rPr>
              <w:t>3</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对企业事业单位的补贴</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债务利息支出</w:t>
            </w:r>
            <w:r>
              <w:rPr>
                <w:rStyle w:val="10"/>
                <w:lang w:val="en-US" w:eastAsia="zh-CN" w:bidi="ar"/>
              </w:rPr>
              <w:t>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其他资本性支出</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6" w:hRule="atLeast"/>
        </w:trPr>
        <w:tc>
          <w:tcPr>
            <w:tcW w:w="102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2516"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42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r>
              <w:rPr>
                <w:rStyle w:val="10"/>
                <w:lang w:val="en-US" w:eastAsia="zh-CN" w:bidi="ar"/>
              </w:rPr>
              <w:t>　</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4" w:hRule="atLeast"/>
        </w:trPr>
        <w:tc>
          <w:tcPr>
            <w:tcW w:w="3538"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99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291.73</w:t>
            </w:r>
          </w:p>
        </w:tc>
        <w:tc>
          <w:tcPr>
            <w:tcW w:w="439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32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16.42</w:t>
            </w:r>
          </w:p>
        </w:tc>
      </w:tr>
    </w:tbl>
    <w:p>
      <w:pPr>
        <w:jc w:val="both"/>
        <w:rPr>
          <w:rFonts w:hint="eastAsia" w:ascii="方正小标宋简体" w:hAnsi="宋体" w:eastAsia="方正小标宋简体" w:cs="宋体"/>
          <w:kern w:val="0"/>
          <w:sz w:val="36"/>
          <w:szCs w:val="36"/>
        </w:rPr>
      </w:pPr>
    </w:p>
    <w:p>
      <w:pPr>
        <w:rPr>
          <w:rFonts w:hint="eastAsia"/>
          <w:lang w:eastAsia="zh-CN"/>
        </w:rPr>
      </w:pPr>
      <w:r>
        <w:rPr>
          <w:rFonts w:hint="eastAsia"/>
          <w:lang w:eastAsia="zh-CN"/>
        </w:rPr>
        <w:t>注：本表反映部门本年度一般公共预算财政拨款基本支出明细情况。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300" w:firstLineChars="100"/>
        <w:jc w:val="both"/>
        <w:rPr>
          <w:rFonts w:hint="eastAsia" w:ascii="方正小标宋简体" w:hAnsi="宋体" w:eastAsia="方正小标宋简体" w:cs="宋体"/>
          <w:kern w:val="0"/>
          <w:sz w:val="30"/>
          <w:szCs w:val="30"/>
        </w:rPr>
      </w:pPr>
      <w:r>
        <w:rPr>
          <w:rFonts w:hint="eastAsia" w:ascii="方正小标宋简体" w:hAnsi="宋体" w:eastAsia="方正小标宋简体" w:cs="宋体"/>
          <w:kern w:val="0"/>
          <w:sz w:val="30"/>
          <w:szCs w:val="30"/>
        </w:rPr>
        <w:t>表七：</w:t>
      </w:r>
      <w:r>
        <w:rPr>
          <w:rFonts w:hint="eastAsia" w:ascii="方正小标宋简体" w:eastAsia="方正小标宋简体"/>
          <w:sz w:val="30"/>
          <w:szCs w:val="30"/>
        </w:rPr>
        <w:t>一般</w:t>
      </w:r>
      <w:r>
        <w:rPr>
          <w:rFonts w:hint="eastAsia" w:ascii="方正小标宋简体" w:hAnsi="宋体" w:eastAsia="方正小标宋简体" w:cs="宋体"/>
          <w:kern w:val="0"/>
          <w:sz w:val="30"/>
          <w:szCs w:val="30"/>
        </w:rPr>
        <w:t>公共预算财政拨款安排的“</w:t>
      </w:r>
      <w:r>
        <w:rPr>
          <w:rFonts w:ascii="方正小标宋简体" w:hAnsi="宋体" w:eastAsia="方正小标宋简体" w:cs="宋体"/>
          <w:kern w:val="0"/>
          <w:sz w:val="30"/>
          <w:szCs w:val="30"/>
        </w:rPr>
        <w:t>三公</w:t>
      </w:r>
      <w:r>
        <w:rPr>
          <w:rFonts w:hint="eastAsia" w:ascii="方正小标宋简体" w:hAnsi="宋体" w:eastAsia="方正小标宋简体" w:cs="宋体"/>
          <w:kern w:val="0"/>
          <w:sz w:val="30"/>
          <w:szCs w:val="30"/>
        </w:rPr>
        <w:t>”</w:t>
      </w:r>
      <w:r>
        <w:rPr>
          <w:rFonts w:ascii="方正小标宋简体" w:hAnsi="宋体" w:eastAsia="方正小标宋简体" w:cs="宋体"/>
          <w:kern w:val="0"/>
          <w:sz w:val="30"/>
          <w:szCs w:val="30"/>
        </w:rPr>
        <w:t>经费</w:t>
      </w:r>
      <w:r>
        <w:rPr>
          <w:rFonts w:hint="eastAsia" w:ascii="方正小标宋简体" w:hAnsi="宋体" w:eastAsia="方正小标宋简体" w:cs="宋体"/>
          <w:kern w:val="0"/>
          <w:sz w:val="30"/>
          <w:szCs w:val="30"/>
        </w:rPr>
        <w:t>支出决算表</w:t>
      </w:r>
    </w:p>
    <w:p>
      <w:pPr>
        <w:rPr>
          <w:rFonts w:hint="eastAsia"/>
        </w:rPr>
      </w:pPr>
    </w:p>
    <w:p>
      <w:pPr>
        <w:jc w:val="center"/>
        <w:rPr>
          <w:rFonts w:hint="eastAsia"/>
        </w:rPr>
      </w:pPr>
      <w:r>
        <w:rPr>
          <w:rFonts w:hint="eastAsia"/>
          <w:lang w:val="en-US" w:eastAsia="zh-CN"/>
        </w:rPr>
        <w:t xml:space="preserve">                                                                </w:t>
      </w:r>
      <w:r>
        <w:rPr>
          <w:rFonts w:hint="eastAsia"/>
        </w:rPr>
        <w:t>单位：万元</w:t>
      </w:r>
    </w:p>
    <w:tbl>
      <w:tblPr>
        <w:tblStyle w:val="4"/>
        <w:tblW w:w="9099" w:type="dxa"/>
        <w:tblInd w:w="0" w:type="dxa"/>
        <w:shd w:val="clear" w:color="auto" w:fill="auto"/>
        <w:tblLayout w:type="autofit"/>
        <w:tblCellMar>
          <w:top w:w="0" w:type="dxa"/>
          <w:left w:w="0" w:type="dxa"/>
          <w:bottom w:w="0" w:type="dxa"/>
          <w:right w:w="0" w:type="dxa"/>
        </w:tblCellMar>
      </w:tblPr>
      <w:tblGrid>
        <w:gridCol w:w="1079"/>
        <w:gridCol w:w="724"/>
        <w:gridCol w:w="724"/>
        <w:gridCol w:w="724"/>
        <w:gridCol w:w="735"/>
        <w:gridCol w:w="741"/>
        <w:gridCol w:w="724"/>
        <w:gridCol w:w="724"/>
        <w:gridCol w:w="724"/>
        <w:gridCol w:w="724"/>
        <w:gridCol w:w="735"/>
        <w:gridCol w:w="741"/>
      </w:tblGrid>
      <w:tr>
        <w:tblPrEx>
          <w:shd w:val="clear" w:color="auto" w:fill="auto"/>
          <w:tblCellMar>
            <w:top w:w="0" w:type="dxa"/>
            <w:left w:w="0" w:type="dxa"/>
            <w:bottom w:w="0" w:type="dxa"/>
            <w:right w:w="0" w:type="dxa"/>
          </w:tblCellMar>
        </w:tblPrEx>
        <w:trPr>
          <w:trHeight w:val="417" w:hRule="atLeast"/>
        </w:trPr>
        <w:tc>
          <w:tcPr>
            <w:tcW w:w="4727"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2019年度预算数</w:t>
            </w:r>
          </w:p>
        </w:tc>
        <w:tc>
          <w:tcPr>
            <w:tcW w:w="4372"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2019年度决算数</w:t>
            </w:r>
          </w:p>
        </w:tc>
      </w:tr>
      <w:tr>
        <w:tblPrEx>
          <w:shd w:val="clear" w:color="auto" w:fill="auto"/>
          <w:tblCellMar>
            <w:top w:w="0" w:type="dxa"/>
            <w:left w:w="0" w:type="dxa"/>
            <w:bottom w:w="0" w:type="dxa"/>
            <w:right w:w="0" w:type="dxa"/>
          </w:tblCellMar>
        </w:tblPrEx>
        <w:trPr>
          <w:trHeight w:val="733" w:hRule="atLeast"/>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18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7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18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7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1367" w:hRule="atLeast"/>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 购置费</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 运行费</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 购置费</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 运行费</w:t>
            </w: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7" w:hRule="atLeast"/>
        </w:trPr>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98" w:hRule="atLeast"/>
        </w:trPr>
        <w:tc>
          <w:tcPr>
            <w:tcW w:w="1079"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18.68</w:t>
            </w:r>
          </w:p>
        </w:tc>
        <w:tc>
          <w:tcPr>
            <w:tcW w:w="72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center"/>
              <w:textAlignment w:val="top"/>
              <w:rPr>
                <w:rFonts w:ascii="Arial" w:hAnsi="Arial" w:eastAsia="宋体" w:cs="Arial"/>
                <w:b w:val="0"/>
                <w:bCs w:val="0"/>
                <w:i w:val="0"/>
                <w:color w:val="000000"/>
                <w:sz w:val="20"/>
                <w:szCs w:val="20"/>
                <w:u w:val="none"/>
              </w:rPr>
            </w:pPr>
            <w:r>
              <w:rPr>
                <w:rFonts w:hint="default" w:ascii="Arial" w:hAnsi="Arial" w:eastAsia="宋体" w:cs="Arial"/>
                <w:b w:val="0"/>
                <w:bCs w:val="0"/>
                <w:i w:val="0"/>
                <w:color w:val="000000"/>
                <w:kern w:val="0"/>
                <w:sz w:val="20"/>
                <w:szCs w:val="20"/>
                <w:u w:val="none"/>
                <w:lang w:val="en-US" w:eastAsia="zh-CN" w:bidi="ar"/>
              </w:rPr>
              <w:t>13</w:t>
            </w:r>
          </w:p>
        </w:tc>
        <w:tc>
          <w:tcPr>
            <w:tcW w:w="72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Arial" w:hAnsi="Arial" w:eastAsia="宋体" w:cs="Arial"/>
                <w:b w:val="0"/>
                <w:bCs w:val="0"/>
                <w:i w:val="0"/>
                <w:color w:val="000000"/>
                <w:sz w:val="20"/>
                <w:szCs w:val="20"/>
                <w:u w:val="none"/>
              </w:rPr>
            </w:pPr>
          </w:p>
        </w:tc>
        <w:tc>
          <w:tcPr>
            <w:tcW w:w="72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Arial" w:hAnsi="Arial" w:eastAsia="宋体" w:cs="Arial"/>
                <w:b w:val="0"/>
                <w:bCs w:val="0"/>
                <w:i w:val="0"/>
                <w:color w:val="000000"/>
                <w:sz w:val="20"/>
                <w:szCs w:val="20"/>
                <w:u w:val="none"/>
              </w:rPr>
            </w:pPr>
          </w:p>
        </w:tc>
        <w:tc>
          <w:tcPr>
            <w:tcW w:w="73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Arial" w:hAnsi="Arial" w:eastAsia="宋体" w:cs="Arial"/>
                <w:b w:val="0"/>
                <w:bCs w:val="0"/>
                <w:i w:val="0"/>
                <w:color w:val="000000"/>
                <w:sz w:val="20"/>
                <w:szCs w:val="20"/>
                <w:u w:val="none"/>
              </w:rPr>
            </w:pPr>
          </w:p>
        </w:tc>
        <w:tc>
          <w:tcPr>
            <w:tcW w:w="741"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center"/>
              <w:textAlignment w:val="top"/>
              <w:rPr>
                <w:rFonts w:hint="default" w:ascii="Arial" w:hAnsi="Arial" w:eastAsia="宋体" w:cs="Arial"/>
                <w:b w:val="0"/>
                <w:bCs w:val="0"/>
                <w:i w:val="0"/>
                <w:color w:val="000000"/>
                <w:sz w:val="20"/>
                <w:szCs w:val="20"/>
                <w:u w:val="none"/>
              </w:rPr>
            </w:pPr>
            <w:r>
              <w:rPr>
                <w:rFonts w:hint="default" w:ascii="Arial" w:hAnsi="Arial" w:eastAsia="宋体" w:cs="Arial"/>
                <w:b w:val="0"/>
                <w:bCs w:val="0"/>
                <w:i w:val="0"/>
                <w:color w:val="000000"/>
                <w:kern w:val="0"/>
                <w:sz w:val="20"/>
                <w:szCs w:val="20"/>
                <w:u w:val="none"/>
                <w:lang w:val="en-US" w:eastAsia="zh-CN" w:bidi="ar"/>
              </w:rPr>
              <w:t>5.68</w:t>
            </w:r>
          </w:p>
        </w:tc>
        <w:tc>
          <w:tcPr>
            <w:tcW w:w="72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9.11</w:t>
            </w:r>
          </w:p>
        </w:tc>
        <w:tc>
          <w:tcPr>
            <w:tcW w:w="72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center"/>
              <w:textAlignment w:val="top"/>
              <w:rPr>
                <w:rFonts w:hint="default" w:ascii="Arial" w:hAnsi="Arial" w:eastAsia="宋体" w:cs="Arial"/>
                <w:b w:val="0"/>
                <w:bCs w:val="0"/>
                <w:i w:val="0"/>
                <w:color w:val="000000"/>
                <w:sz w:val="20"/>
                <w:szCs w:val="20"/>
                <w:u w:val="none"/>
              </w:rPr>
            </w:pPr>
            <w:r>
              <w:rPr>
                <w:rFonts w:hint="default" w:ascii="Arial" w:hAnsi="Arial" w:eastAsia="宋体" w:cs="Arial"/>
                <w:b w:val="0"/>
                <w:bCs w:val="0"/>
                <w:i w:val="0"/>
                <w:color w:val="000000"/>
                <w:kern w:val="0"/>
                <w:sz w:val="20"/>
                <w:szCs w:val="20"/>
                <w:u w:val="none"/>
                <w:lang w:val="en-US" w:eastAsia="zh-CN" w:bidi="ar"/>
              </w:rPr>
              <w:t>6.99</w:t>
            </w:r>
          </w:p>
        </w:tc>
        <w:tc>
          <w:tcPr>
            <w:tcW w:w="72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Arial" w:hAnsi="Arial" w:eastAsia="宋体" w:cs="Arial"/>
                <w:b w:val="0"/>
                <w:bCs w:val="0"/>
                <w:i w:val="0"/>
                <w:color w:val="000000"/>
                <w:sz w:val="20"/>
                <w:szCs w:val="20"/>
                <w:u w:val="none"/>
              </w:rPr>
            </w:pPr>
          </w:p>
        </w:tc>
        <w:tc>
          <w:tcPr>
            <w:tcW w:w="72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Arial" w:hAnsi="Arial" w:eastAsia="宋体" w:cs="Arial"/>
                <w:b w:val="0"/>
                <w:bCs w:val="0"/>
                <w:i w:val="0"/>
                <w:color w:val="000000"/>
                <w:sz w:val="20"/>
                <w:szCs w:val="20"/>
                <w:u w:val="none"/>
              </w:rPr>
            </w:pPr>
          </w:p>
        </w:tc>
        <w:tc>
          <w:tcPr>
            <w:tcW w:w="73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Arial" w:hAnsi="Arial" w:eastAsia="宋体" w:cs="Arial"/>
                <w:b w:val="0"/>
                <w:bCs w:val="0"/>
                <w:i w:val="0"/>
                <w:color w:val="000000"/>
                <w:sz w:val="20"/>
                <w:szCs w:val="20"/>
                <w:u w:val="none"/>
              </w:rPr>
            </w:pPr>
          </w:p>
        </w:tc>
        <w:tc>
          <w:tcPr>
            <w:tcW w:w="741"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100"/>
              <w:jc w:val="center"/>
              <w:textAlignment w:val="top"/>
              <w:rPr>
                <w:rFonts w:hint="default" w:ascii="Arial" w:hAnsi="Arial" w:eastAsia="宋体" w:cs="Arial"/>
                <w:b w:val="0"/>
                <w:bCs w:val="0"/>
                <w:i w:val="0"/>
                <w:color w:val="000000"/>
                <w:sz w:val="20"/>
                <w:szCs w:val="20"/>
                <w:u w:val="none"/>
              </w:rPr>
            </w:pPr>
            <w:r>
              <w:rPr>
                <w:rFonts w:hint="default" w:ascii="Arial" w:hAnsi="Arial" w:eastAsia="宋体" w:cs="Arial"/>
                <w:b w:val="0"/>
                <w:bCs w:val="0"/>
                <w:i w:val="0"/>
                <w:color w:val="000000"/>
                <w:kern w:val="0"/>
                <w:sz w:val="20"/>
                <w:szCs w:val="20"/>
                <w:u w:val="none"/>
                <w:lang w:val="en-US" w:eastAsia="zh-CN" w:bidi="ar"/>
              </w:rPr>
              <w:t>2.12</w:t>
            </w:r>
          </w:p>
        </w:tc>
      </w:tr>
    </w:tbl>
    <w:p>
      <w:pPr>
        <w:rPr>
          <w:rFonts w:hint="eastAsia"/>
          <w:lang w:val="en-US" w:eastAsia="zh-CN"/>
        </w:r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4"/>
        <w:tblW w:w="8580" w:type="dxa"/>
        <w:jc w:val="center"/>
        <w:tblLayout w:type="fixed"/>
        <w:tblCellMar>
          <w:top w:w="0" w:type="dxa"/>
          <w:left w:w="108" w:type="dxa"/>
          <w:bottom w:w="0" w:type="dxa"/>
          <w:right w:w="108" w:type="dxa"/>
        </w:tblCellMar>
      </w:tblPr>
      <w:tblGrid>
        <w:gridCol w:w="714"/>
        <w:gridCol w:w="951"/>
        <w:gridCol w:w="525"/>
        <w:gridCol w:w="714"/>
        <w:gridCol w:w="714"/>
        <w:gridCol w:w="714"/>
        <w:gridCol w:w="714"/>
        <w:gridCol w:w="714"/>
        <w:gridCol w:w="714"/>
        <w:gridCol w:w="714"/>
        <w:gridCol w:w="700"/>
        <w:gridCol w:w="692"/>
      </w:tblGrid>
      <w:tr>
        <w:tblPrEx>
          <w:tblCellMar>
            <w:top w:w="0" w:type="dxa"/>
            <w:left w:w="108" w:type="dxa"/>
            <w:bottom w:w="0" w:type="dxa"/>
            <w:right w:w="108" w:type="dxa"/>
          </w:tblCellMar>
        </w:tblPrEx>
        <w:trPr>
          <w:trHeight w:val="790" w:hRule="atLeast"/>
          <w:jc w:val="center"/>
        </w:trPr>
        <w:tc>
          <w:tcPr>
            <w:tcW w:w="8580" w:type="dxa"/>
            <w:gridSpan w:val="12"/>
            <w:tcBorders>
              <w:top w:val="nil"/>
              <w:left w:val="nil"/>
              <w:bottom w:val="nil"/>
              <w:right w:val="nil"/>
            </w:tcBorders>
            <w:shd w:val="clear" w:color="auto" w:fill="auto"/>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395" w:hRule="atLeast"/>
          <w:jc w:val="center"/>
        </w:trPr>
        <w:tc>
          <w:tcPr>
            <w:tcW w:w="714"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951"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525"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714"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714"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714"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714"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714"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714"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714" w:type="dxa"/>
            <w:tcBorders>
              <w:top w:val="nil"/>
              <w:left w:val="nil"/>
              <w:bottom w:val="nil"/>
              <w:right w:val="nil"/>
            </w:tcBorders>
            <w:shd w:val="clear" w:color="auto" w:fill="auto"/>
            <w:vAlign w:val="bottom"/>
          </w:tcPr>
          <w:p>
            <w:pPr>
              <w:widowControl/>
              <w:jc w:val="left"/>
              <w:rPr>
                <w:rFonts w:ascii="仿宋_GB2312" w:hAnsi="宋体" w:cs="宋体"/>
                <w:kern w:val="0"/>
                <w:sz w:val="24"/>
              </w:rPr>
            </w:pPr>
          </w:p>
        </w:tc>
        <w:tc>
          <w:tcPr>
            <w:tcW w:w="1392" w:type="dxa"/>
            <w:gridSpan w:val="2"/>
            <w:tcBorders>
              <w:top w:val="nil"/>
              <w:left w:val="nil"/>
              <w:bottom w:val="nil"/>
              <w:right w:val="nil"/>
            </w:tcBorders>
            <w:shd w:val="clear" w:color="auto" w:fill="auto"/>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7" w:hRule="atLeast"/>
          <w:jc w:val="center"/>
        </w:trPr>
        <w:tc>
          <w:tcPr>
            <w:tcW w:w="714"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19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714"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21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21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407" w:hRule="atLeast"/>
          <w:jc w:val="center"/>
        </w:trPr>
        <w:tc>
          <w:tcPr>
            <w:tcW w:w="714"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52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1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71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714"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6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61" w:hRule="atLeast"/>
          <w:jc w:val="center"/>
        </w:trPr>
        <w:tc>
          <w:tcPr>
            <w:tcW w:w="714"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525"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14"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14"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14"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6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7" w:hRule="atLeast"/>
          <w:jc w:val="center"/>
        </w:trPr>
        <w:tc>
          <w:tcPr>
            <w:tcW w:w="1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52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03"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03"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03"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7" w:hRule="atLeast"/>
          <w:jc w:val="center"/>
        </w:trPr>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7" w:hRule="atLeast"/>
          <w:jc w:val="center"/>
        </w:trPr>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7" w:hRule="atLeast"/>
          <w:jc w:val="center"/>
        </w:trPr>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7" w:hRule="atLeast"/>
          <w:jc w:val="center"/>
        </w:trPr>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7" w:hRule="atLeast"/>
          <w:jc w:val="center"/>
        </w:trPr>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jc w:val="center"/>
        </w:trPr>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2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1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69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rPr>
          <w:rFonts w:hint="eastAsia"/>
          <w:lang w:val="en-US" w:eastAsia="zh-CN"/>
        </w:rPr>
        <w:sectPr>
          <w:footerReference r:id="rId9" w:type="default"/>
          <w:pgSz w:w="11906" w:h="16838"/>
          <w:pgMar w:top="1440" w:right="1069" w:bottom="1440" w:left="1797" w:header="851" w:footer="992" w:gutter="0"/>
          <w:pgNumType w:fmt="numberInDash"/>
          <w:cols w:space="720" w:num="1"/>
          <w:docGrid w:type="lines" w:linePitch="312" w:charSpace="0"/>
        </w:sectPr>
      </w:pPr>
      <w:r>
        <w:rPr>
          <w:rFonts w:hint="eastAsia"/>
          <w:lang w:val="en-US" w:eastAsia="zh-CN"/>
        </w:rPr>
        <w:t xml:space="preserve">    </w:t>
      </w:r>
      <w:r>
        <w:rPr>
          <w:rFonts w:hint="eastAsia"/>
          <w:lang w:eastAsia="zh-CN"/>
        </w:rPr>
        <w:t>注：柳州市工商联没有政府性基金预算财政拨款收入，也没有政府性基金预算财政拨款安排的支出，故本表无数据。</w:t>
      </w:r>
    </w:p>
    <w:p>
      <w:pPr>
        <w:jc w:val="both"/>
        <w:rPr>
          <w:rFonts w:hint="eastAsia" w:ascii="方正小标宋简体" w:hAnsi="宋体" w:eastAsia="方正小标宋简体" w:cs="宋体"/>
          <w:kern w:val="0"/>
          <w:sz w:val="36"/>
          <w:szCs w:val="36"/>
        </w:rPr>
      </w:pPr>
    </w:p>
    <w:p>
      <w:pPr>
        <w:rPr>
          <w:rFonts w:hint="eastAsia"/>
        </w:rPr>
      </w:pPr>
    </w:p>
    <w:p>
      <w:pPr>
        <w:rPr>
          <w:rFonts w:hint="eastAsia"/>
        </w:rPr>
      </w:pPr>
    </w:p>
    <w:p>
      <w:pPr>
        <w:spacing w:line="560" w:lineRule="exact"/>
        <w:rPr>
          <w:rFonts w:hint="eastAsia" w:ascii="仿宋_GB2312" w:eastAsia="仿宋_GB2312"/>
          <w:b/>
          <w:sz w:val="32"/>
          <w:szCs w:val="32"/>
        </w:rPr>
      </w:pPr>
      <w:r>
        <w:rPr>
          <w:rFonts w:hint="eastAsia" w:ascii="仿宋_GB2312" w:eastAsia="仿宋_GB2312"/>
          <w:b/>
          <w:sz w:val="32"/>
          <w:szCs w:val="32"/>
        </w:rPr>
        <w:t>第三部分：柳州市工商联</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429.32</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412.04</w:t>
      </w:r>
      <w:r>
        <w:rPr>
          <w:rFonts w:hint="eastAsia" w:ascii="仿宋_GB2312" w:eastAsia="仿宋_GB2312" w:cs="仿宋_GB2312"/>
          <w:b w:val="0"/>
          <w:bCs/>
          <w:kern w:val="0"/>
          <w:sz w:val="32"/>
          <w:szCs w:val="32"/>
        </w:rPr>
        <w:t>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 w:val="0"/>
          <w:bCs/>
          <w:kern w:val="0"/>
          <w:sz w:val="32"/>
          <w:szCs w:val="32"/>
        </w:rPr>
        <w:t>年相比，收、支分别增加</w:t>
      </w:r>
      <w:r>
        <w:rPr>
          <w:rFonts w:hint="eastAsia" w:ascii="仿宋_GB2312" w:eastAsia="仿宋_GB2312" w:cs="仿宋_GB2312"/>
          <w:b w:val="0"/>
          <w:bCs/>
          <w:kern w:val="0"/>
          <w:sz w:val="32"/>
          <w:szCs w:val="32"/>
          <w:lang w:val="en-US" w:eastAsia="zh-CN"/>
        </w:rPr>
        <w:t>45.58万元、30.36万元</w:t>
      </w:r>
      <w:r>
        <w:rPr>
          <w:rFonts w:hint="eastAsia" w:ascii="仿宋_GB2312" w:eastAsia="仿宋_GB2312" w:cs="仿宋_GB2312"/>
          <w:b w:val="0"/>
          <w:bCs/>
          <w:kern w:val="0"/>
          <w:sz w:val="32"/>
          <w:szCs w:val="32"/>
        </w:rPr>
        <w:t>；分别增长</w:t>
      </w:r>
      <w:r>
        <w:rPr>
          <w:rFonts w:hint="eastAsia" w:ascii="仿宋_GB2312" w:eastAsia="仿宋_GB2312" w:cs="仿宋_GB2312"/>
          <w:b w:val="0"/>
          <w:bCs/>
          <w:kern w:val="0"/>
          <w:sz w:val="32"/>
          <w:szCs w:val="32"/>
          <w:lang w:val="en-US" w:eastAsia="zh-CN"/>
        </w:rPr>
        <w:t>11.9</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lang w:val="en-US" w:eastAsia="zh-CN"/>
        </w:rPr>
        <w:t>8%。主要原因：一是增人增资，二是补缴养老保险、公务员医疗补助、职业年金。</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429.32</w:t>
      </w:r>
      <w:r>
        <w:rPr>
          <w:rFonts w:hint="eastAsia" w:ascii="仿宋_GB2312" w:eastAsia="仿宋_GB2312" w:cs="仿宋_GB2312"/>
          <w:b w:val="0"/>
          <w:bCs/>
          <w:kern w:val="0"/>
          <w:sz w:val="32"/>
          <w:szCs w:val="32"/>
        </w:rPr>
        <w:t>万元（逐项说明）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429.32</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100%</w:t>
      </w:r>
      <w:r>
        <w:rPr>
          <w:rFonts w:hint="eastAsia" w:ascii="仿宋_GB2312" w:eastAsia="仿宋_GB2312" w:cs="仿宋_GB2312"/>
          <w:b w:val="0"/>
          <w:bCs/>
          <w:kern w:val="0"/>
          <w:sz w:val="32"/>
          <w:szCs w:val="32"/>
        </w:rPr>
        <w:t> ；</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上级补助收入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；事业收入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 xml:space="preserve"> ；事业单位经营收入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；其他收入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 xml:space="preserve">本年支出合计 </w:t>
      </w:r>
      <w:r>
        <w:rPr>
          <w:rFonts w:hint="eastAsia" w:ascii="仿宋_GB2312" w:eastAsia="仿宋_GB2312" w:cs="仿宋_GB2312"/>
          <w:b w:val="0"/>
          <w:bCs/>
          <w:kern w:val="0"/>
          <w:sz w:val="32"/>
          <w:szCs w:val="32"/>
          <w:lang w:val="en-US" w:eastAsia="zh-CN"/>
        </w:rPr>
        <w:t>412.04</w:t>
      </w:r>
      <w:r>
        <w:rPr>
          <w:rFonts w:hint="eastAsia" w:ascii="仿宋_GB2312" w:eastAsia="仿宋_GB2312" w:cs="仿宋_GB2312"/>
          <w:b w:val="0"/>
          <w:bCs/>
          <w:kern w:val="0"/>
          <w:sz w:val="32"/>
          <w:szCs w:val="32"/>
        </w:rPr>
        <w:t xml:space="preserve"> 万元（逐项说明），其中：基本支出 </w:t>
      </w:r>
      <w:r>
        <w:rPr>
          <w:rFonts w:hint="eastAsia" w:ascii="仿宋_GB2312" w:eastAsia="仿宋_GB2312" w:cs="仿宋_GB2312"/>
          <w:b w:val="0"/>
          <w:bCs/>
          <w:kern w:val="0"/>
          <w:sz w:val="32"/>
          <w:szCs w:val="32"/>
          <w:lang w:val="en-US" w:eastAsia="zh-CN"/>
        </w:rPr>
        <w:t>308.14</w:t>
      </w:r>
      <w:r>
        <w:rPr>
          <w:rFonts w:hint="eastAsia" w:ascii="仿宋_GB2312" w:eastAsia="仿宋_GB2312" w:cs="仿宋_GB2312"/>
          <w:b w:val="0"/>
          <w:bCs/>
          <w:kern w:val="0"/>
          <w:sz w:val="32"/>
          <w:szCs w:val="32"/>
        </w:rPr>
        <w:t xml:space="preserve">万元，占 </w:t>
      </w:r>
      <w:r>
        <w:rPr>
          <w:rFonts w:hint="eastAsia" w:ascii="仿宋_GB2312" w:eastAsia="仿宋_GB2312" w:cs="仿宋_GB2312"/>
          <w:b w:val="0"/>
          <w:bCs/>
          <w:kern w:val="0"/>
          <w:sz w:val="32"/>
          <w:szCs w:val="32"/>
          <w:lang w:val="en-US" w:eastAsia="zh-CN"/>
        </w:rPr>
        <w:t>74.8</w:t>
      </w:r>
      <w:r>
        <w:rPr>
          <w:rFonts w:hint="eastAsia" w:ascii="仿宋_GB2312" w:eastAsia="仿宋_GB2312" w:cs="仿宋_GB2312"/>
          <w:b w:val="0"/>
          <w:bCs/>
          <w:kern w:val="0"/>
          <w:sz w:val="32"/>
          <w:szCs w:val="32"/>
        </w:rPr>
        <w:t>%；项目支出</w:t>
      </w:r>
      <w:r>
        <w:rPr>
          <w:rFonts w:hint="eastAsia" w:ascii="仿宋_GB2312" w:eastAsia="仿宋_GB2312" w:cs="仿宋_GB2312"/>
          <w:b w:val="0"/>
          <w:bCs/>
          <w:kern w:val="0"/>
          <w:sz w:val="32"/>
          <w:szCs w:val="32"/>
          <w:lang w:val="en-US" w:eastAsia="zh-CN"/>
        </w:rPr>
        <w:t>103.89</w:t>
      </w:r>
      <w:r>
        <w:rPr>
          <w:rFonts w:hint="eastAsia" w:ascii="仿宋_GB2312" w:eastAsia="仿宋_GB2312" w:cs="仿宋_GB2312"/>
          <w:b w:val="0"/>
          <w:bCs/>
          <w:kern w:val="0"/>
          <w:sz w:val="32"/>
          <w:szCs w:val="32"/>
        </w:rPr>
        <w:t>万元， 占</w:t>
      </w:r>
      <w:r>
        <w:rPr>
          <w:rFonts w:hint="eastAsia" w:ascii="仿宋_GB2312" w:eastAsia="仿宋_GB2312" w:cs="仿宋_GB2312"/>
          <w:b w:val="0"/>
          <w:bCs/>
          <w:kern w:val="0"/>
          <w:sz w:val="32"/>
          <w:szCs w:val="32"/>
          <w:lang w:val="en-US" w:eastAsia="zh-CN"/>
        </w:rPr>
        <w:t>25.2</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val="en-US"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年度财政拨款收、支总决算 </w:t>
      </w:r>
      <w:r>
        <w:rPr>
          <w:rFonts w:hint="eastAsia" w:ascii="仿宋_GB2312" w:eastAsia="仿宋_GB2312" w:cs="仿宋_GB2312"/>
          <w:bCs/>
          <w:kern w:val="0"/>
          <w:sz w:val="32"/>
          <w:szCs w:val="32"/>
          <w:lang w:val="en-US" w:eastAsia="zh-CN"/>
        </w:rPr>
        <w:t>429.32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412.04</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年相比，财政拨款收、支总计各增加</w:t>
      </w:r>
      <w:r>
        <w:rPr>
          <w:rFonts w:hint="eastAsia" w:ascii="仿宋_GB2312" w:eastAsia="仿宋_GB2312" w:cs="仿宋_GB2312"/>
          <w:bCs/>
          <w:kern w:val="0"/>
          <w:sz w:val="32"/>
          <w:szCs w:val="32"/>
          <w:lang w:val="en-US" w:eastAsia="zh-CN"/>
        </w:rPr>
        <w:t>45.58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30.36万元</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11.9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Cs/>
          <w:kern w:val="0"/>
          <w:sz w:val="32"/>
          <w:szCs w:val="32"/>
        </w:rPr>
        <w:t>。</w:t>
      </w:r>
      <w:r>
        <w:rPr>
          <w:rFonts w:hint="eastAsia" w:ascii="仿宋_GB2312" w:eastAsia="仿宋_GB2312" w:cs="仿宋_GB2312"/>
          <w:b w:val="0"/>
          <w:bCs/>
          <w:kern w:val="0"/>
          <w:sz w:val="32"/>
          <w:szCs w:val="32"/>
          <w:lang w:val="en-US" w:eastAsia="zh-CN"/>
        </w:rPr>
        <w:t>主要原因：一是增人增资，二是补缴养老保险、公务员医疗补助、职业年金。</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年度财政拨款支出 </w:t>
      </w:r>
      <w:r>
        <w:rPr>
          <w:rFonts w:hint="eastAsia" w:ascii="仿宋_GB2312" w:eastAsia="仿宋_GB2312" w:cs="仿宋_GB2312"/>
          <w:bCs/>
          <w:kern w:val="0"/>
          <w:sz w:val="32"/>
          <w:szCs w:val="32"/>
          <w:lang w:val="en-US" w:eastAsia="zh-CN"/>
        </w:rPr>
        <w:t>412.04</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30.36</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w:t>
      </w:r>
      <w:r>
        <w:rPr>
          <w:rFonts w:hint="eastAsia" w:ascii="仿宋_GB2312" w:eastAsia="仿宋_GB2312" w:cs="仿宋_GB2312"/>
          <w:b w:val="0"/>
          <w:bCs/>
          <w:kern w:val="0"/>
          <w:sz w:val="32"/>
          <w:szCs w:val="32"/>
          <w:lang w:val="en-US" w:eastAsia="zh-CN"/>
        </w:rPr>
        <w:t>主要原因：一是增人增资，二是补缴养老保险、公务员医疗补助、职业年金。</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w:t>
      </w:r>
      <w:r>
        <w:rPr>
          <w:rFonts w:hint="eastAsia" w:ascii="仿宋_GB2312" w:eastAsia="仿宋_GB2312" w:cs="仿宋_GB2312"/>
          <w:bCs/>
          <w:kern w:val="0"/>
          <w:sz w:val="32"/>
          <w:szCs w:val="32"/>
          <w:lang w:val="en-US" w:eastAsia="zh-CN"/>
        </w:rPr>
        <w:t>412.04</w:t>
      </w:r>
      <w:r>
        <w:rPr>
          <w:rFonts w:hint="eastAsia" w:ascii="仿宋_GB2312" w:eastAsia="仿宋_GB2312" w:cs="仿宋_GB2312"/>
          <w:bCs/>
          <w:kern w:val="0"/>
          <w:sz w:val="32"/>
          <w:szCs w:val="32"/>
        </w:rPr>
        <w:t xml:space="preserve">万元，主要用于以下方面：一般公共服务（类）支出 </w:t>
      </w:r>
      <w:r>
        <w:rPr>
          <w:rFonts w:hint="eastAsia" w:ascii="仿宋_GB2312" w:eastAsia="仿宋_GB2312" w:cs="仿宋_GB2312"/>
          <w:bCs/>
          <w:kern w:val="0"/>
          <w:sz w:val="32"/>
          <w:szCs w:val="32"/>
          <w:lang w:val="en-US" w:eastAsia="zh-CN"/>
        </w:rPr>
        <w:t>327.62</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79.51</w:t>
      </w:r>
      <w:r>
        <w:rPr>
          <w:rFonts w:hint="eastAsia" w:ascii="仿宋_GB2312" w:eastAsia="仿宋_GB2312" w:cs="仿宋_GB2312"/>
          <w:bCs/>
          <w:kern w:val="0"/>
          <w:sz w:val="32"/>
          <w:szCs w:val="32"/>
        </w:rPr>
        <w:t>%； 社会保障和就业（类）支出</w:t>
      </w:r>
      <w:r>
        <w:rPr>
          <w:rFonts w:hint="eastAsia" w:ascii="仿宋_GB2312" w:eastAsia="仿宋_GB2312" w:cs="仿宋_GB2312"/>
          <w:bCs/>
          <w:kern w:val="0"/>
          <w:sz w:val="32"/>
          <w:szCs w:val="32"/>
          <w:lang w:val="en-US" w:eastAsia="zh-CN"/>
        </w:rPr>
        <w:t>40.02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9.71</w:t>
      </w:r>
      <w:r>
        <w:rPr>
          <w:rFonts w:hint="eastAsia" w:ascii="仿宋_GB2312" w:eastAsia="仿宋_GB2312" w:cs="仿宋_GB2312"/>
          <w:bCs/>
          <w:kern w:val="0"/>
          <w:sz w:val="32"/>
          <w:szCs w:val="32"/>
        </w:rPr>
        <w:t>%；医疗卫生与计划生育支出（类） 支出</w:t>
      </w:r>
      <w:r>
        <w:rPr>
          <w:rFonts w:hint="eastAsia" w:ascii="仿宋_GB2312" w:eastAsia="仿宋_GB2312" w:cs="仿宋_GB2312"/>
          <w:bCs/>
          <w:kern w:val="0"/>
          <w:sz w:val="32"/>
          <w:szCs w:val="32"/>
          <w:lang w:val="en-US" w:eastAsia="zh-CN"/>
        </w:rPr>
        <w:t>24.83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6.03</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19.56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4.75</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364.32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412.04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 xml:space="preserve">%。决算数大于预算数的主要原因：一是年中追加安排财政拨款支出预算，涉及项目有一般公共服务支出、社会保障和就业支出、医疗卫生与计划生育支出、住房保障支出；二是部分支出按规定，通过使用以前年度财政拨款结转资金解决。其中：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1.一般公共服务（类）民主党派及工商联事务（款）行政运行（项）。 年初预算为</w:t>
      </w:r>
      <w:r>
        <w:rPr>
          <w:rFonts w:hint="eastAsia" w:ascii="仿宋_GB2312" w:eastAsia="仿宋_GB2312" w:cs="仿宋_GB2312"/>
          <w:bCs/>
          <w:kern w:val="0"/>
          <w:sz w:val="32"/>
          <w:szCs w:val="32"/>
          <w:lang w:val="en-US" w:eastAsia="zh-CN"/>
        </w:rPr>
        <w:t>225.9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223.73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99.04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决算数小于预算数的主要原因是一般公共服务支出</w:t>
      </w:r>
      <w:r>
        <w:rPr>
          <w:rFonts w:hint="eastAsia" w:ascii="仿宋_GB2312" w:hAnsi="仿宋" w:eastAsia="仿宋_GB2312" w:cs="仿宋"/>
          <w:color w:val="000000"/>
          <w:sz w:val="32"/>
          <w:szCs w:val="32"/>
        </w:rPr>
        <w:t>因客观原因未执行完毕，次年继续使用</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2.一般公共服务（类）民主党派及工商联事务（款）参政议政（项）。年初预算为</w:t>
      </w:r>
      <w:r>
        <w:rPr>
          <w:rFonts w:hint="eastAsia" w:ascii="仿宋_GB2312" w:eastAsia="仿宋_GB2312" w:cs="仿宋_GB2312"/>
          <w:bCs/>
          <w:kern w:val="0"/>
          <w:sz w:val="32"/>
          <w:szCs w:val="32"/>
          <w:lang w:val="en-US" w:eastAsia="zh-CN"/>
        </w:rPr>
        <w:t>85.8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85.05</w:t>
      </w:r>
      <w:r>
        <w:rPr>
          <w:rFonts w:hint="eastAsia" w:ascii="仿宋_GB2312" w:eastAsia="仿宋_GB2312" w:cs="仿宋_GB2312"/>
          <w:bCs/>
          <w:kern w:val="0"/>
          <w:sz w:val="32"/>
          <w:szCs w:val="32"/>
        </w:rPr>
        <w:t>万元，完成年初预算的97.97 %。决算数小于预算数的主要原因是</w:t>
      </w:r>
      <w:r>
        <w:rPr>
          <w:rFonts w:hint="eastAsia" w:ascii="仿宋_GB2312" w:hAnsi="仿宋" w:eastAsia="仿宋_GB2312" w:cs="仿宋"/>
          <w:color w:val="000000"/>
          <w:sz w:val="32"/>
          <w:szCs w:val="32"/>
        </w:rPr>
        <w:t>项目资金因客观原因未执行完毕，次年继续使用</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rPr>
        <w:t xml:space="preserve"> </w:t>
      </w:r>
      <w:r>
        <w:rPr>
          <w:rFonts w:hint="eastAsia" w:ascii="仿宋_GB2312" w:eastAsia="仿宋_GB2312" w:cs="仿宋_GB2312"/>
          <w:bCs/>
          <w:kern w:val="0"/>
          <w:sz w:val="32"/>
          <w:szCs w:val="32"/>
        </w:rPr>
        <w:t>社会保障和就业（类）行政事业单位离退休（款）归口管理的行政单位离退休（项）。年初预算为</w:t>
      </w:r>
      <w:r>
        <w:rPr>
          <w:rFonts w:hint="eastAsia" w:ascii="仿宋_GB2312" w:eastAsia="仿宋_GB2312" w:cs="仿宋_GB2312"/>
          <w:bCs/>
          <w:kern w:val="0"/>
          <w:sz w:val="32"/>
          <w:szCs w:val="32"/>
          <w:lang w:val="en-US" w:eastAsia="zh-CN"/>
        </w:rPr>
        <w:t>11.63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11.63</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4.</w:t>
      </w:r>
      <w:r>
        <w:rPr>
          <w:rFonts w:hint="eastAsia"/>
        </w:rPr>
        <w:t xml:space="preserve"> </w:t>
      </w:r>
      <w:r>
        <w:rPr>
          <w:rFonts w:hint="eastAsia" w:ascii="仿宋_GB2312" w:eastAsia="仿宋_GB2312" w:cs="仿宋_GB2312"/>
          <w:bCs/>
          <w:kern w:val="0"/>
          <w:sz w:val="32"/>
          <w:szCs w:val="32"/>
        </w:rPr>
        <w:t>社会保障和就业（类）行政事业单位离退休（款）机关事业单位基本养老保险缴费支出（项）。年初预算为</w:t>
      </w:r>
      <w:r>
        <w:rPr>
          <w:rFonts w:hint="eastAsia" w:ascii="仿宋_GB2312" w:eastAsia="仿宋_GB2312" w:cs="仿宋_GB2312"/>
          <w:bCs/>
          <w:kern w:val="0"/>
          <w:sz w:val="32"/>
          <w:szCs w:val="32"/>
          <w:lang w:val="en-US" w:eastAsia="zh-CN"/>
        </w:rPr>
        <w:t>28.39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28.39</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5.</w:t>
      </w:r>
      <w:r>
        <w:rPr>
          <w:rFonts w:hint="eastAsia"/>
        </w:rPr>
        <w:t xml:space="preserve"> </w:t>
      </w:r>
      <w:r>
        <w:rPr>
          <w:rFonts w:hint="eastAsia" w:ascii="仿宋_GB2312" w:eastAsia="仿宋_GB2312" w:cs="仿宋_GB2312"/>
          <w:bCs/>
          <w:kern w:val="0"/>
          <w:sz w:val="32"/>
          <w:szCs w:val="32"/>
        </w:rPr>
        <w:t>医疗卫生与计划生育支出（类）行政事业单位医疗（款）行政单位医疗（项）。年初预算为</w:t>
      </w:r>
      <w:r>
        <w:rPr>
          <w:rFonts w:hint="eastAsia" w:ascii="仿宋_GB2312" w:eastAsia="仿宋_GB2312" w:cs="仿宋_GB2312"/>
          <w:bCs/>
          <w:kern w:val="0"/>
          <w:sz w:val="32"/>
          <w:szCs w:val="32"/>
          <w:lang w:val="en-US" w:eastAsia="zh-CN"/>
        </w:rPr>
        <w:t>12.23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12.23</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6. 医疗卫生与计划生育支出（类）行政事业单位医疗（款）公务员医疗补助（项）。年初预算为</w:t>
      </w:r>
      <w:r>
        <w:rPr>
          <w:rFonts w:hint="eastAsia" w:ascii="仿宋_GB2312" w:eastAsia="仿宋_GB2312" w:cs="仿宋_GB2312"/>
          <w:bCs/>
          <w:kern w:val="0"/>
          <w:sz w:val="32"/>
          <w:szCs w:val="32"/>
          <w:lang w:val="en-US" w:eastAsia="zh-CN"/>
        </w:rPr>
        <w:t>25.37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12.61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49.7</w:t>
      </w:r>
      <w:r>
        <w:rPr>
          <w:rFonts w:hint="eastAsia" w:ascii="仿宋_GB2312" w:eastAsia="仿宋_GB2312" w:cs="仿宋_GB2312"/>
          <w:bCs/>
          <w:kern w:val="0"/>
          <w:sz w:val="32"/>
          <w:szCs w:val="32"/>
        </w:rPr>
        <w:t>%。决算数小于预算数的主要原因是</w:t>
      </w:r>
      <w:r>
        <w:rPr>
          <w:rFonts w:hint="eastAsia" w:ascii="仿宋_GB2312" w:hAnsi="仿宋" w:eastAsia="仿宋_GB2312" w:cs="仿宋"/>
          <w:color w:val="000000"/>
          <w:sz w:val="32"/>
          <w:szCs w:val="32"/>
        </w:rPr>
        <w:t>资金因客观原因</w:t>
      </w:r>
      <w:r>
        <w:rPr>
          <w:rFonts w:hint="eastAsia" w:ascii="仿宋_GB2312" w:hAnsi="仿宋" w:eastAsia="仿宋_GB2312" w:cs="仿宋"/>
          <w:color w:val="000000"/>
          <w:sz w:val="32"/>
          <w:szCs w:val="32"/>
          <w:lang w:eastAsia="zh-CN"/>
        </w:rPr>
        <w:t>未到账所以</w:t>
      </w:r>
      <w:r>
        <w:rPr>
          <w:rFonts w:hint="eastAsia" w:ascii="仿宋_GB2312" w:hAnsi="仿宋" w:eastAsia="仿宋_GB2312" w:cs="仿宋"/>
          <w:color w:val="000000"/>
          <w:sz w:val="32"/>
          <w:szCs w:val="32"/>
        </w:rPr>
        <w:t>未</w:t>
      </w:r>
      <w:r>
        <w:rPr>
          <w:rFonts w:hint="eastAsia" w:ascii="仿宋_GB2312" w:hAnsi="仿宋" w:eastAsia="仿宋_GB2312" w:cs="仿宋"/>
          <w:color w:val="000000"/>
          <w:sz w:val="32"/>
          <w:szCs w:val="32"/>
          <w:lang w:eastAsia="zh-CN"/>
        </w:rPr>
        <w:t>能</w:t>
      </w:r>
      <w:r>
        <w:rPr>
          <w:rFonts w:hint="eastAsia" w:ascii="仿宋_GB2312" w:hAnsi="仿宋" w:eastAsia="仿宋_GB2312" w:cs="仿宋"/>
          <w:color w:val="000000"/>
          <w:sz w:val="32"/>
          <w:szCs w:val="32"/>
        </w:rPr>
        <w:t>执行完毕，次年继续使用</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7.</w:t>
      </w:r>
      <w:r>
        <w:rPr>
          <w:rFonts w:hint="eastAsia"/>
        </w:rPr>
        <w:t xml:space="preserve"> </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cs="仿宋_GB2312"/>
          <w:bCs/>
          <w:kern w:val="0"/>
          <w:sz w:val="32"/>
          <w:szCs w:val="32"/>
          <w:lang w:val="en-US" w:eastAsia="zh-CN"/>
        </w:rPr>
        <w:t>19.56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19.56</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rPr>
        <w:t>六、</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年度一般公共预算财政拨款基本支出决算情况（根据实际情况作表述 </w:t>
      </w:r>
      <w:r>
        <w:rPr>
          <w:rFonts w:hint="eastAsia" w:ascii="仿宋_GB2312" w:eastAsia="仿宋_GB2312" w:cs="仿宋_GB2312"/>
          <w:b/>
          <w:bCs w:val="0"/>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308.14</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 xml:space="preserve"> 人员经费</w:t>
      </w:r>
      <w:r>
        <w:rPr>
          <w:rFonts w:hint="eastAsia" w:ascii="仿宋_GB2312" w:eastAsia="仿宋_GB2312" w:cs="仿宋_GB2312"/>
          <w:b w:val="0"/>
          <w:bCs/>
          <w:kern w:val="0"/>
          <w:sz w:val="32"/>
          <w:szCs w:val="32"/>
          <w:lang w:val="en-US" w:eastAsia="zh-CN"/>
        </w:rPr>
        <w:t>291.73</w:t>
      </w:r>
      <w:r>
        <w:rPr>
          <w:rFonts w:hint="eastAsia" w:ascii="仿宋_GB2312" w:eastAsia="仿宋_GB2312" w:cs="仿宋_GB2312"/>
          <w:b w:val="0"/>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16.42</w:t>
      </w:r>
      <w:r>
        <w:rPr>
          <w:rFonts w:hint="eastAsia" w:ascii="仿宋_GB2312" w:eastAsia="仿宋_GB2312" w:cs="仿宋_GB2312"/>
          <w:b w:val="0"/>
          <w:bCs/>
          <w:kern w:val="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（根据实际情况作表述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年度“三公”经费财政拨款支出预算为</w:t>
      </w:r>
      <w:r>
        <w:rPr>
          <w:rFonts w:hint="eastAsia" w:ascii="仿宋_GB2312" w:eastAsia="仿宋_GB2312" w:cs="仿宋_GB2312"/>
          <w:bCs/>
          <w:kern w:val="0"/>
          <w:sz w:val="32"/>
          <w:szCs w:val="32"/>
          <w:lang w:val="en-US" w:eastAsia="zh-CN"/>
        </w:rPr>
        <w:t>18.68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9.11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48.77</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6.99</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37.42</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2.12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11.35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精神和厉行节约要求，进一步从严控制“三公”经费开支，全年实际支出比预算有所节约（根据实际情况作原因陈述）</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年度“三公”经费财政拨款支出决算数</w:t>
      </w:r>
      <w:r>
        <w:rPr>
          <w:rFonts w:hint="eastAsia" w:ascii="仿宋_GB2312" w:eastAsia="仿宋_GB2312" w:cs="仿宋_GB2312"/>
          <w:bCs/>
          <w:kern w:val="0"/>
          <w:sz w:val="32"/>
          <w:szCs w:val="32"/>
          <w:lang w:val="en-US" w:eastAsia="zh-CN"/>
        </w:rPr>
        <w:t>9.11万</w:t>
      </w:r>
      <w:r>
        <w:rPr>
          <w:rFonts w:hint="eastAsia" w:ascii="仿宋_GB2312" w:eastAsia="仿宋_GB2312" w:cs="仿宋_GB2312"/>
          <w:bCs/>
          <w:kern w:val="0"/>
          <w:sz w:val="32"/>
          <w:szCs w:val="32"/>
        </w:rPr>
        <w:t>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1.77万</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7.34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414.69</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6.99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去年同期为</w:t>
      </w:r>
      <w:r>
        <w:rPr>
          <w:rFonts w:hint="eastAsia" w:ascii="仿宋_GB2312" w:eastAsia="仿宋_GB2312" w:cs="仿宋_GB2312"/>
          <w:bCs/>
          <w:kern w:val="0"/>
          <w:sz w:val="32"/>
          <w:szCs w:val="32"/>
          <w:lang w:val="en-US" w:eastAsia="zh-CN"/>
        </w:rPr>
        <w:t>0万</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0.35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19.77</w:t>
      </w:r>
      <w:r>
        <w:rPr>
          <w:rFonts w:hint="eastAsia" w:ascii="仿宋_GB2312" w:eastAsia="仿宋_GB2312" w:cs="仿宋_GB2312"/>
          <w:bCs/>
          <w:kern w:val="0"/>
          <w:sz w:val="32"/>
          <w:szCs w:val="32"/>
        </w:rPr>
        <w:t>%。</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因公出国（境）费支出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的主要原因是当年有出国</w:t>
      </w:r>
      <w:r>
        <w:rPr>
          <w:rFonts w:hint="eastAsia" w:ascii="仿宋_GB2312" w:eastAsia="仿宋_GB2312" w:cs="仿宋_GB2312"/>
          <w:bCs/>
          <w:kern w:val="0"/>
          <w:sz w:val="32"/>
          <w:szCs w:val="32"/>
          <w:lang w:eastAsia="zh-CN"/>
        </w:rPr>
        <w:t>开展商务活动，</w:t>
      </w:r>
      <w:r>
        <w:rPr>
          <w:rFonts w:hint="eastAsia" w:ascii="仿宋_GB2312" w:eastAsia="仿宋_GB2312" w:cs="仿宋_GB2312"/>
          <w:bCs/>
          <w:kern w:val="0"/>
          <w:sz w:val="32"/>
          <w:szCs w:val="32"/>
          <w:lang w:val="en-US" w:eastAsia="zh-CN"/>
        </w:rPr>
        <w:t>2018</w:t>
      </w:r>
      <w:r>
        <w:rPr>
          <w:rFonts w:hint="eastAsia" w:ascii="仿宋_GB2312" w:eastAsia="仿宋_GB2312" w:cs="仿宋_GB2312"/>
          <w:bCs/>
          <w:kern w:val="0"/>
          <w:sz w:val="32"/>
          <w:szCs w:val="32"/>
          <w:lang w:eastAsia="zh-CN"/>
        </w:rPr>
        <w:t>年没有出国开支</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eastAsia="zh-CN"/>
        </w:rPr>
        <w:t>无变化</w:t>
      </w:r>
      <w:r>
        <w:rPr>
          <w:rFonts w:hint="eastAsia" w:ascii="仿宋_GB2312" w:eastAsia="仿宋_GB2312" w:cs="仿宋_GB2312"/>
          <w:bCs/>
          <w:kern w:val="0"/>
          <w:sz w:val="32"/>
          <w:szCs w:val="32"/>
        </w:rPr>
        <w:t>的主要原因是没有公务用车；公务接待费支出增加的主要原因是</w:t>
      </w:r>
      <w:r>
        <w:rPr>
          <w:rFonts w:hint="eastAsia" w:ascii="仿宋_GB2312" w:eastAsia="仿宋_GB2312" w:cs="仿宋_GB2312"/>
          <w:bCs/>
          <w:kern w:val="0"/>
          <w:sz w:val="32"/>
          <w:szCs w:val="32"/>
          <w:lang w:eastAsia="zh-CN"/>
        </w:rPr>
        <w:t>业务量增加，</w:t>
      </w:r>
      <w:r>
        <w:rPr>
          <w:rFonts w:hint="eastAsia" w:ascii="仿宋_GB2312" w:eastAsia="仿宋_GB2312" w:cs="仿宋_GB2312"/>
          <w:bCs/>
          <w:kern w:val="0"/>
          <w:sz w:val="32"/>
          <w:szCs w:val="32"/>
        </w:rPr>
        <w:t>接待批次及人数增加。</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6.99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76.73</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2.12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23.27</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6.99</w:t>
      </w:r>
      <w:r>
        <w:rPr>
          <w:rFonts w:hint="eastAsia" w:ascii="仿宋_GB2312" w:eastAsia="仿宋_GB2312" w:cs="仿宋_GB2312"/>
          <w:bCs/>
          <w:kern w:val="0"/>
          <w:sz w:val="32"/>
          <w:szCs w:val="32"/>
        </w:rPr>
        <w:t>万元。全年安排机关和所属单位因公出国（境）团组</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人次（必须说明）。开支内容包括：文化、财经、教育交流与合作及会议支出</w:t>
      </w:r>
      <w:r>
        <w:rPr>
          <w:rFonts w:hint="eastAsia" w:ascii="仿宋_GB2312" w:eastAsia="仿宋_GB2312" w:cs="仿宋_GB2312"/>
          <w:bCs/>
          <w:kern w:val="0"/>
          <w:sz w:val="32"/>
          <w:szCs w:val="32"/>
          <w:lang w:val="en-US" w:eastAsia="zh-CN"/>
        </w:rPr>
        <w:t>6.99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2.12</w:t>
      </w:r>
      <w:r>
        <w:rPr>
          <w:rFonts w:hint="eastAsia" w:ascii="仿宋_GB2312" w:eastAsia="仿宋_GB2312" w:cs="仿宋_GB2312"/>
          <w:bCs/>
          <w:kern w:val="0"/>
          <w:sz w:val="32"/>
          <w:szCs w:val="32"/>
        </w:rPr>
        <w:t>万元。其中：</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年共接待国（境）外来访团组0个、来访外宾0人次。</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2.12</w:t>
      </w:r>
      <w:r>
        <w:rPr>
          <w:rFonts w:hint="eastAsia" w:ascii="仿宋_GB2312" w:eastAsia="仿宋_GB2312" w:cs="仿宋_GB2312"/>
          <w:bCs/>
          <w:kern w:val="0"/>
          <w:sz w:val="32"/>
          <w:szCs w:val="32"/>
        </w:rPr>
        <w:t>万元。主要用于发挥党和政府联系非公有制经济人士的桥梁纽带作用发生的接待支出。201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18</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106</w:t>
      </w:r>
      <w:r>
        <w:rPr>
          <w:rFonts w:hint="eastAsia" w:ascii="仿宋_GB2312" w:eastAsia="仿宋_GB2312" w:cs="仿宋_GB2312"/>
          <w:bCs/>
          <w:kern w:val="0"/>
          <w:sz w:val="32"/>
          <w:szCs w:val="32"/>
        </w:rPr>
        <w:t>人次。</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八、</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年度政府性基金预算财政拨款收入支出决算情况说明 </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w:t>
      </w:r>
      <w:r>
        <w:rPr>
          <w:rFonts w:ascii="仿宋_GB2312" w:hAnsi="宋体" w:eastAsia="仿宋_GB2312" w:cs="仿宋_GB2312"/>
          <w:i w:val="0"/>
          <w:caps w:val="0"/>
          <w:color w:val="333333"/>
          <w:spacing w:val="0"/>
          <w:sz w:val="31"/>
          <w:szCs w:val="31"/>
          <w:shd w:val="clear" w:fill="FFFFFF"/>
        </w:rPr>
        <w:t>没有政府性基金预算财政拨款收入，也没有政府性基金预算财政拨款安排的支出</w:t>
      </w:r>
      <w:r>
        <w:rPr>
          <w:rFonts w:hint="eastAsia" w:ascii="仿宋_GB2312" w:hAnsi="宋体" w:eastAsia="仿宋_GB2312" w:cs="仿宋_GB2312"/>
          <w:i w:val="0"/>
          <w:caps w:val="0"/>
          <w:color w:val="333333"/>
          <w:spacing w:val="0"/>
          <w:sz w:val="31"/>
          <w:szCs w:val="31"/>
          <w:shd w:val="clear" w:fill="FFFFFF"/>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p>
    <w:p>
      <w:pPr>
        <w:autoSpaceDE w:val="0"/>
        <w:autoSpaceDN w:val="0"/>
        <w:adjustRightInd w:val="0"/>
        <w:ind w:firstLine="643" w:firstLineChars="20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 xml:space="preserve"> 年度预算绩效情况说明</w:t>
      </w:r>
    </w:p>
    <w:p>
      <w:pPr>
        <w:numPr>
          <w:ilvl w:val="0"/>
          <w:numId w:val="1"/>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根据财政预算管理要求，我部门组织对201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年度一般公共预算项目支出全面开展绩效自评。其中，一级项目3个，二级项目9个，共涉及预算资金</w:t>
      </w:r>
      <w:r>
        <w:rPr>
          <w:rFonts w:hint="eastAsia" w:ascii="仿宋_GB2312" w:eastAsia="仿宋_GB2312" w:cs="仿宋_GB2312"/>
          <w:bCs/>
          <w:kern w:val="0"/>
          <w:sz w:val="32"/>
          <w:szCs w:val="32"/>
          <w:lang w:val="en-US" w:eastAsia="zh-CN"/>
        </w:rPr>
        <w:t>364.32</w:t>
      </w:r>
      <w:r>
        <w:rPr>
          <w:rFonts w:hint="eastAsia" w:ascii="仿宋_GB2312" w:eastAsia="仿宋_GB2312" w:cs="仿宋_GB2312"/>
          <w:bCs/>
          <w:kern w:val="0"/>
          <w:sz w:val="32"/>
          <w:szCs w:val="32"/>
        </w:rPr>
        <w:t>万元，自评覆盖率达到100%</w:t>
      </w:r>
    </w:p>
    <w:p>
      <w:pPr>
        <w:autoSpaceDE w:val="0"/>
        <w:autoSpaceDN w:val="0"/>
        <w:adjustRightInd w:val="0"/>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（二）部门决算中项目绩效自评结果</w:t>
      </w:r>
      <w:r>
        <w:rPr>
          <w:rFonts w:hint="eastAsia" w:ascii="仿宋_GB2312" w:eastAsia="仿宋_GB2312" w:cs="仿宋_GB2312"/>
          <w:bCs/>
          <w:kern w:val="0"/>
          <w:sz w:val="32"/>
          <w:szCs w:val="32"/>
          <w:lang w:eastAsia="zh-CN"/>
        </w:rPr>
        <w:t>为优</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84"/>
          <w:szCs w:val="84"/>
        </w:rPr>
      </w:pPr>
      <w:r>
        <w:rPr>
          <w:rFonts w:hint="eastAsia" w:ascii="仿宋_GB2312" w:eastAsia="仿宋_GB2312" w:cs="仿宋_GB2312"/>
          <w:kern w:val="0"/>
          <w:sz w:val="32"/>
          <w:szCs w:val="32"/>
        </w:rPr>
        <w:t>（一）机关运行经费支出情况。201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16.42</w:t>
      </w:r>
      <w:r>
        <w:rPr>
          <w:rFonts w:hint="eastAsia" w:ascii="仿宋_GB2312" w:eastAsia="仿宋_GB2312" w:cs="仿宋_GB2312"/>
          <w:kern w:val="0"/>
          <w:sz w:val="32"/>
          <w:szCs w:val="32"/>
        </w:rPr>
        <w:t>万元，比 201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年增加0.</w:t>
      </w:r>
      <w:r>
        <w:rPr>
          <w:rFonts w:hint="eastAsia" w:ascii="仿宋_GB2312" w:eastAsia="仿宋_GB2312" w:cs="仿宋_GB2312"/>
          <w:kern w:val="0"/>
          <w:sz w:val="32"/>
          <w:szCs w:val="32"/>
          <w:lang w:val="en-US" w:eastAsia="zh-CN"/>
        </w:rPr>
        <w:t>16</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0.98</w:t>
      </w:r>
      <w:r>
        <w:rPr>
          <w:rFonts w:hint="eastAsia" w:ascii="仿宋_GB2312" w:eastAsia="仿宋_GB2312" w:cs="仿宋_GB2312"/>
          <w:kern w:val="0"/>
          <w:sz w:val="32"/>
          <w:szCs w:val="32"/>
        </w:rPr>
        <w:t>%，增</w:t>
      </w:r>
      <w:r>
        <w:rPr>
          <w:rFonts w:hint="eastAsia" w:ascii="仿宋_GB2312" w:eastAsia="仿宋_GB2312" w:cs="仿宋_GB2312"/>
          <w:kern w:val="0"/>
          <w:sz w:val="32"/>
          <w:szCs w:val="32"/>
          <w:lang w:eastAsia="zh-CN"/>
        </w:rPr>
        <w:t>长</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rPr>
        <w:t>提高人员标准。</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3.49</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3.49</w:t>
      </w:r>
      <w:r>
        <w:rPr>
          <w:rFonts w:hint="eastAsia" w:ascii="仿宋_GB2312" w:eastAsia="仿宋_GB2312" w:cs="仿宋_GB2312"/>
          <w:kern w:val="0"/>
          <w:sz w:val="32"/>
          <w:szCs w:val="32"/>
        </w:rPr>
        <w:t>万元、工程支出0万元、服务支出0万元。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 辆；专业技术用车0 辆；单价50万元以上通用设备0台（套），单价100 万元以上专用设备0台（套）。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F7422EB-155A-4D95-A584-8345145D69F7}"/>
  </w:font>
  <w:font w:name="黑体">
    <w:panose1 w:val="02010609060101010101"/>
    <w:charset w:val="86"/>
    <w:family w:val="auto"/>
    <w:pitch w:val="default"/>
    <w:sig w:usb0="800002BF" w:usb1="38CF7CFA" w:usb2="00000016" w:usb3="00000000" w:csb0="00040001" w:csb1="00000000"/>
    <w:embedRegular r:id="rId2" w:fontKey="{FBE70275-ED12-42C0-874C-2012C52B44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embedRegular r:id="rId3" w:fontKey="{0527F993-5699-49C0-9C7F-54F964C6B3DC}"/>
  </w:font>
  <w:font w:name="仿宋_GB2312">
    <w:altName w:val="仿宋"/>
    <w:panose1 w:val="02010609030101010101"/>
    <w:charset w:val="86"/>
    <w:family w:val="modern"/>
    <w:pitch w:val="default"/>
    <w:sig w:usb0="00000000" w:usb1="00000000" w:usb2="00000000" w:usb3="00000000" w:csb0="00040000" w:csb1="00000000"/>
    <w:embedRegular r:id="rId4" w:fontKey="{1CBCFE82-57E4-418A-82A5-37A3892C7A6E}"/>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5" w:fontKey="{EB7E04C1-7E70-42D0-B0F2-A34389716D2F}"/>
  </w:font>
  <w:font w:name="仿宋">
    <w:panose1 w:val="02010609060101010101"/>
    <w:charset w:val="86"/>
    <w:family w:val="modern"/>
    <w:pitch w:val="default"/>
    <w:sig w:usb0="800002BF" w:usb1="38CF7CFA" w:usb2="00000016" w:usb3="00000000" w:csb0="00040001" w:csb1="00000000"/>
    <w:embedRegular r:id="rId6" w:fontKey="{6B200B50-9584-40A0-88F1-43EF159EA3B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4C256E3D"/>
    <w:rsid w:val="02836DDD"/>
    <w:rsid w:val="04731082"/>
    <w:rsid w:val="07FD7B7F"/>
    <w:rsid w:val="086D698C"/>
    <w:rsid w:val="0BED206C"/>
    <w:rsid w:val="0C19168B"/>
    <w:rsid w:val="0C571179"/>
    <w:rsid w:val="0D2F3647"/>
    <w:rsid w:val="11B0436A"/>
    <w:rsid w:val="136C75F9"/>
    <w:rsid w:val="19BE665B"/>
    <w:rsid w:val="1A164BE8"/>
    <w:rsid w:val="1A243FFF"/>
    <w:rsid w:val="1C094BDA"/>
    <w:rsid w:val="1D0615CE"/>
    <w:rsid w:val="1D17790B"/>
    <w:rsid w:val="1E690DE7"/>
    <w:rsid w:val="1FD945BD"/>
    <w:rsid w:val="1FF563B0"/>
    <w:rsid w:val="20622A4A"/>
    <w:rsid w:val="20637D4C"/>
    <w:rsid w:val="238365BD"/>
    <w:rsid w:val="23A524A0"/>
    <w:rsid w:val="249A02F1"/>
    <w:rsid w:val="26460DBA"/>
    <w:rsid w:val="281570E7"/>
    <w:rsid w:val="29F14F10"/>
    <w:rsid w:val="2A6B0D3B"/>
    <w:rsid w:val="2A6E733D"/>
    <w:rsid w:val="2AC4640E"/>
    <w:rsid w:val="2C4219FE"/>
    <w:rsid w:val="2F037DE3"/>
    <w:rsid w:val="323A402F"/>
    <w:rsid w:val="32C81263"/>
    <w:rsid w:val="32DD10E3"/>
    <w:rsid w:val="33775B73"/>
    <w:rsid w:val="364C0A18"/>
    <w:rsid w:val="37214052"/>
    <w:rsid w:val="38D8199D"/>
    <w:rsid w:val="39621323"/>
    <w:rsid w:val="39670041"/>
    <w:rsid w:val="398A200B"/>
    <w:rsid w:val="39A63F06"/>
    <w:rsid w:val="3B1B4154"/>
    <w:rsid w:val="3B5602BE"/>
    <w:rsid w:val="3ED1439F"/>
    <w:rsid w:val="3ED563AE"/>
    <w:rsid w:val="42AC410B"/>
    <w:rsid w:val="45770AA0"/>
    <w:rsid w:val="467E5BDE"/>
    <w:rsid w:val="48E447CB"/>
    <w:rsid w:val="4A2971D3"/>
    <w:rsid w:val="4B0465A2"/>
    <w:rsid w:val="4B60630E"/>
    <w:rsid w:val="4BAB6150"/>
    <w:rsid w:val="4C134E72"/>
    <w:rsid w:val="4C256E3D"/>
    <w:rsid w:val="4CB52F0F"/>
    <w:rsid w:val="4CCD1BA5"/>
    <w:rsid w:val="4D3012CE"/>
    <w:rsid w:val="4ECC49A0"/>
    <w:rsid w:val="4F204926"/>
    <w:rsid w:val="51AC5EC3"/>
    <w:rsid w:val="532F1F9A"/>
    <w:rsid w:val="53A62F25"/>
    <w:rsid w:val="53EA6555"/>
    <w:rsid w:val="54BB322A"/>
    <w:rsid w:val="552C0A55"/>
    <w:rsid w:val="55E11511"/>
    <w:rsid w:val="566D66AA"/>
    <w:rsid w:val="5756727C"/>
    <w:rsid w:val="58D92717"/>
    <w:rsid w:val="59BC49F3"/>
    <w:rsid w:val="5A2747EC"/>
    <w:rsid w:val="5B146571"/>
    <w:rsid w:val="5BE916CA"/>
    <w:rsid w:val="6074576C"/>
    <w:rsid w:val="62163194"/>
    <w:rsid w:val="63810CFE"/>
    <w:rsid w:val="638B54C0"/>
    <w:rsid w:val="64F07708"/>
    <w:rsid w:val="6A3E79B0"/>
    <w:rsid w:val="6AF9130D"/>
    <w:rsid w:val="6AFA7912"/>
    <w:rsid w:val="6E512779"/>
    <w:rsid w:val="6EC15053"/>
    <w:rsid w:val="6F616068"/>
    <w:rsid w:val="710A5CBC"/>
    <w:rsid w:val="71557420"/>
    <w:rsid w:val="74291937"/>
    <w:rsid w:val="743C37AC"/>
    <w:rsid w:val="74631958"/>
    <w:rsid w:val="75241D14"/>
    <w:rsid w:val="75E00666"/>
    <w:rsid w:val="76CF420E"/>
    <w:rsid w:val="775F7613"/>
    <w:rsid w:val="78B05AAC"/>
    <w:rsid w:val="78C22B78"/>
    <w:rsid w:val="78C35282"/>
    <w:rsid w:val="78F24A1F"/>
    <w:rsid w:val="794A0D44"/>
    <w:rsid w:val="799858D8"/>
    <w:rsid w:val="79C35E92"/>
    <w:rsid w:val="7A2B13E9"/>
    <w:rsid w:val="7A591DAE"/>
    <w:rsid w:val="7CF25463"/>
    <w:rsid w:val="7E5E7489"/>
    <w:rsid w:val="7FDC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1"/>
    <w:basedOn w:val="1"/>
    <w:qFormat/>
    <w:uiPriority w:val="0"/>
    <w:pPr>
      <w:widowControl/>
    </w:pPr>
    <w:rPr>
      <w:rFonts w:eastAsia="Times New Roman"/>
      <w:kern w:val="0"/>
      <w:szCs w:val="20"/>
      <w:lang w:val="zh-CN"/>
    </w:rPr>
  </w:style>
  <w:style w:type="character" w:customStyle="1" w:styleId="8">
    <w:name w:val="font51"/>
    <w:basedOn w:val="5"/>
    <w:qFormat/>
    <w:uiPriority w:val="0"/>
    <w:rPr>
      <w:rFonts w:ascii="MingLiU" w:hAnsi="MingLiU" w:eastAsia="MingLiU" w:cs="MingLiU"/>
      <w:color w:val="000000"/>
      <w:sz w:val="22"/>
      <w:szCs w:val="22"/>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 w:type="character" w:customStyle="1" w:styleId="10">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2020-07-30T00:44:00Z</cp:lastPrinted>
  <dcterms:modified xsi:type="dcterms:W3CDTF">2023-11-22T02:54:59Z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A1067AE80CEB4E2BAC8FF485F88679E5</vt:lpwstr>
  </property>
</Properties>
</file>