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cs="ArialUnicodeMS"/>
          <w:kern w:val="0"/>
          <w:sz w:val="32"/>
          <w:szCs w:val="32"/>
          <w:lang w:val="en-US" w:eastAsia="zh-CN"/>
        </w:rPr>
      </w:pPr>
      <w:r>
        <w:rPr>
          <w:rFonts w:hint="eastAsia" w:ascii="仿宋_GB2312" w:eastAsia="仿宋_GB2312" w:cs="ArialUnicodeMS"/>
          <w:kern w:val="0"/>
          <w:sz w:val="32"/>
          <w:szCs w:val="32"/>
          <w:lang w:val="en-US" w:eastAsia="zh-CN"/>
        </w:rPr>
        <w:t xml:space="preserve">  </w:t>
      </w: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人民检察院</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bookmarkStart w:id="0" w:name="_GoBack"/>
      <w:bookmarkEnd w:id="0"/>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u w:val="none"/>
        </w:rPr>
        <w:t>概</w:t>
      </w:r>
      <w:r>
        <w:rPr>
          <w:rFonts w:hint="eastAsia" w:ascii="仿宋_GB2312" w:eastAsia="仿宋_GB2312"/>
          <w:b/>
          <w:sz w:val="32"/>
          <w:szCs w:val="32"/>
        </w:rPr>
        <w:t>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60" w:lineRule="atLeast"/>
        <w:ind w:left="0" w:right="0" w:firstLine="672"/>
        <w:jc w:val="both"/>
        <w:rPr>
          <w:rFonts w:hint="eastAsia" w:ascii="仿宋_GB2312" w:hAnsi="Times New Roman" w:eastAsia="仿宋_GB2312" w:cs="Times New Roman"/>
          <w:b w:val="0"/>
          <w:kern w:val="2"/>
          <w:sz w:val="32"/>
          <w:szCs w:val="32"/>
          <w:lang w:val="en-US" w:eastAsia="zh-CN" w:bidi="ar"/>
        </w:rPr>
      </w:pPr>
      <w:r>
        <w:rPr>
          <w:rFonts w:hint="eastAsia" w:ascii="仿宋_GB2312" w:hAnsi="宋体" w:eastAsia="仿宋_GB2312" w:cs="仿宋_GB2312"/>
          <w:b w:val="0"/>
          <w:kern w:val="0"/>
          <w:sz w:val="32"/>
          <w:szCs w:val="32"/>
          <w:lang w:val="en-US" w:eastAsia="zh-CN" w:bidi="ar"/>
        </w:rPr>
        <w:t>检察机关是法律监督机关，</w:t>
      </w:r>
      <w:r>
        <w:rPr>
          <w:rStyle w:val="8"/>
          <w:rFonts w:hint="eastAsia" w:ascii="仿宋_GB2312" w:hAnsi="Times New Roman" w:eastAsia="仿宋_GB2312" w:cs="Times New Roman"/>
          <w:b w:val="0"/>
          <w:color w:val="000000"/>
          <w:sz w:val="32"/>
          <w:szCs w:val="32"/>
        </w:rPr>
        <w:t>人民检察院依法</w:t>
      </w:r>
      <w:r>
        <w:rPr>
          <w:rFonts w:hint="eastAsia" w:ascii="仿宋_GB2312" w:hAnsi="Times New Roman" w:eastAsia="仿宋_GB2312" w:cs="Times New Roman"/>
          <w:i w:val="0"/>
          <w:caps w:val="0"/>
          <w:color w:val="333333"/>
          <w:spacing w:val="0"/>
          <w:sz w:val="32"/>
          <w:szCs w:val="32"/>
          <w:shd w:val="clear" w:color="auto" w:fill="FFFFFF"/>
        </w:rPr>
        <w:t>对于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w:t>
      </w:r>
      <w:r>
        <w:rPr>
          <w:rFonts w:hint="eastAsia" w:ascii="仿宋_GB2312" w:hAnsi="Times New Roman" w:eastAsia="仿宋_GB2312" w:cs="Times New Roman"/>
          <w:i w:val="0"/>
          <w:caps w:val="0"/>
          <w:spacing w:val="0"/>
          <w:sz w:val="32"/>
          <w:szCs w:val="32"/>
          <w:lang w:eastAsia="zh-CN"/>
        </w:rPr>
        <w:t>；</w:t>
      </w:r>
      <w:r>
        <w:rPr>
          <w:rFonts w:hint="eastAsia" w:ascii="仿宋_GB2312" w:hAnsi="宋体" w:eastAsia="仿宋_GB2312" w:cs="仿宋_GB2312"/>
          <w:b w:val="0"/>
          <w:kern w:val="0"/>
          <w:sz w:val="32"/>
          <w:szCs w:val="32"/>
          <w:lang w:val="en-US" w:eastAsia="zh-CN" w:bidi="ar"/>
        </w:rPr>
        <w:t>受理来信、来访，控告、举报、申诉和犯罪嫌疑人的自首；勘验公安机关重大案件的现场，鉴定与案件有关的人身、尸体、痕迹、物品、会计资料等</w:t>
      </w:r>
      <w:r>
        <w:rPr>
          <w:rFonts w:hint="eastAsia" w:ascii="仿宋_GB2312" w:hAnsi="Times New Roman" w:eastAsia="仿宋_GB2312" w:cs="Times New Roman"/>
          <w:i w:val="0"/>
          <w:caps w:val="0"/>
          <w:color w:val="333333"/>
          <w:spacing w:val="0"/>
          <w:sz w:val="32"/>
          <w:szCs w:val="32"/>
          <w:shd w:val="clear" w:color="auto" w:fill="FFFFFF"/>
        </w:rPr>
        <w:t>。</w:t>
      </w:r>
    </w:p>
    <w:p>
      <w:pPr>
        <w:ind w:firstLine="645"/>
        <w:rPr>
          <w:rFonts w:hint="eastAsia" w:ascii="仿宋_GB2312" w:hAnsi="宋体" w:eastAsia="仿宋_GB2312" w:cs="仿宋_GB2312"/>
          <w:b w:val="0"/>
          <w:kern w:val="0"/>
          <w:sz w:val="32"/>
          <w:szCs w:val="32"/>
          <w:lang w:val="en-US" w:eastAsia="zh-CN" w:bidi="ar"/>
        </w:rPr>
      </w:pPr>
      <w:r>
        <w:rPr>
          <w:rFonts w:hint="eastAsia" w:ascii="仿宋_GB2312" w:hAnsi="宋体" w:eastAsia="仿宋_GB2312" w:cs="仿宋_GB2312"/>
          <w:b w:val="0"/>
          <w:kern w:val="0"/>
          <w:sz w:val="32"/>
          <w:szCs w:val="32"/>
          <w:lang w:val="en-US" w:eastAsia="zh-CN" w:bidi="ar"/>
        </w:rPr>
        <w:t>我院主要工作目标是深入实践“强化法律监督，维护公平正义”，进一步落实“加大工作力度，提高执法水平和办案质量”，以业务建设为主线，以队伍建设为根本，以改革创新为动力，以执法保障建设为基础，全面加强自身建设，充分履行法律监督职责，为构建社会主义和谐社会营造平安稳定的治安环境。</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6"/>
        <w:jc w:val="center"/>
        <w:rPr>
          <w:rFonts w:hint="eastAsia" w:ascii="仿宋_GB2312" w:eastAsia="仿宋_GB2312"/>
          <w:b/>
          <w:bCs/>
          <w:sz w:val="32"/>
          <w:szCs w:val="32"/>
          <w:lang w:eastAsia="zh-CN"/>
        </w:rPr>
      </w:pPr>
      <w:r>
        <w:rPr>
          <w:rFonts w:hint="eastAsia" w:ascii="仿宋_GB2312" w:eastAsia="仿宋_GB2312"/>
          <w:b/>
          <w:bCs/>
          <w:sz w:val="32"/>
          <w:szCs w:val="32"/>
          <w:lang w:eastAsia="zh-CN"/>
        </w:rPr>
        <w:t>机构和人员情况表</w:t>
      </w:r>
    </w:p>
    <w:p>
      <w:pPr>
        <w:jc w:val="center"/>
      </w:pPr>
    </w:p>
    <w:tbl>
      <w:tblPr>
        <w:tblStyle w:val="6"/>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40"/>
        <w:gridCol w:w="900"/>
        <w:gridCol w:w="1350"/>
        <w:gridCol w:w="1830"/>
        <w:gridCol w:w="87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60" w:type="dxa"/>
          <w:trHeight w:val="570" w:hRule="atLeast"/>
        </w:trPr>
        <w:tc>
          <w:tcPr>
            <w:tcW w:w="32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2"/>
                <w:szCs w:val="22"/>
                <w:lang w:val="en-US" w:eastAsia="zh-CN" w:bidi="ar"/>
              </w:rPr>
              <w:t> </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2"/>
                <w:szCs w:val="22"/>
                <w:lang w:val="en-US" w:eastAsia="zh-CN" w:bidi="ar"/>
              </w:rPr>
              <w:t> </w:t>
            </w:r>
          </w:p>
        </w:tc>
        <w:tc>
          <w:tcPr>
            <w:tcW w:w="135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2"/>
                <w:szCs w:val="22"/>
                <w:lang w:val="en-US" w:eastAsia="zh-CN" w:bidi="ar"/>
              </w:rPr>
              <w:t> </w:t>
            </w:r>
          </w:p>
        </w:tc>
        <w:tc>
          <w:tcPr>
            <w:tcW w:w="183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2"/>
                <w:szCs w:val="22"/>
                <w:lang w:val="en-US" w:eastAsia="zh-CN" w:bidi="ar"/>
              </w:rPr>
              <w:t> </w:t>
            </w:r>
            <w:r>
              <w:rPr>
                <w:rFonts w:hint="eastAsia" w:ascii="仿宋_GB2312" w:hAnsi="宋体" w:eastAsia="仿宋_GB2312" w:cs="仿宋_GB2312"/>
                <w:b w:val="0"/>
                <w:i w:val="0"/>
                <w:color w:val="000000"/>
                <w:kern w:val="0"/>
                <w:sz w:val="30"/>
                <w:szCs w:val="30"/>
                <w:lang w:val="en-US" w:eastAsia="zh-CN" w:bidi="ar"/>
              </w:rPr>
              <w:t>单位：人</w:t>
            </w:r>
          </w:p>
        </w:tc>
        <w:tc>
          <w:tcPr>
            <w:tcW w:w="87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40" w:type="dxa"/>
            <w:vMerge w:val="restart"/>
            <w:tcBorders>
              <w:top w:val="single" w:color="000000" w:sz="18" w:space="0"/>
              <w:left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单位名称</w:t>
            </w:r>
          </w:p>
        </w:tc>
        <w:tc>
          <w:tcPr>
            <w:tcW w:w="900" w:type="dxa"/>
            <w:vMerge w:val="restart"/>
            <w:tcBorders>
              <w:top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单位 性质</w:t>
            </w:r>
          </w:p>
        </w:tc>
        <w:tc>
          <w:tcPr>
            <w:tcW w:w="1350" w:type="dxa"/>
            <w:vMerge w:val="restart"/>
            <w:tcBorders>
              <w:top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编制人数</w:t>
            </w:r>
          </w:p>
        </w:tc>
        <w:tc>
          <w:tcPr>
            <w:tcW w:w="1830" w:type="dxa"/>
            <w:vMerge w:val="restart"/>
            <w:tcBorders>
              <w:top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实有在职人数</w:t>
            </w:r>
          </w:p>
        </w:tc>
        <w:tc>
          <w:tcPr>
            <w:tcW w:w="870" w:type="dxa"/>
            <w:vMerge w:val="restart"/>
            <w:tcBorders>
              <w:top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离休 人数</w:t>
            </w:r>
          </w:p>
        </w:tc>
        <w:tc>
          <w:tcPr>
            <w:tcW w:w="960" w:type="dxa"/>
            <w:vMerge w:val="restart"/>
            <w:tcBorders>
              <w:top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聘用 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240" w:type="dxa"/>
            <w:vMerge w:val="continue"/>
            <w:tcBorders>
              <w:top w:val="single" w:color="000000" w:sz="18" w:space="0"/>
              <w:left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00" w:type="dxa"/>
            <w:vMerge w:val="continue"/>
            <w:tcBorders>
              <w:top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350" w:type="dxa"/>
            <w:vMerge w:val="continue"/>
            <w:tcBorders>
              <w:top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830" w:type="dxa"/>
            <w:vMerge w:val="continue"/>
            <w:tcBorders>
              <w:top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870" w:type="dxa"/>
            <w:vMerge w:val="continue"/>
            <w:tcBorders>
              <w:top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60" w:type="dxa"/>
            <w:vMerge w:val="continue"/>
            <w:tcBorders>
              <w:top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240" w:type="dxa"/>
            <w:tcBorders>
              <w:left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合计</w:t>
            </w:r>
          </w:p>
        </w:tc>
        <w:tc>
          <w:tcPr>
            <w:tcW w:w="90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4"/>
                <w:szCs w:val="24"/>
                <w:lang w:val="en-US" w:eastAsia="zh-CN" w:bidi="ar"/>
              </w:rPr>
              <w:t> </w:t>
            </w:r>
          </w:p>
        </w:tc>
        <w:tc>
          <w:tcPr>
            <w:tcW w:w="135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color w:val="000000"/>
                <w:kern w:val="0"/>
                <w:sz w:val="30"/>
                <w:szCs w:val="30"/>
                <w:lang w:val="en-US" w:eastAsia="zh-CN" w:bidi="ar"/>
              </w:rPr>
              <w:t>163</w:t>
            </w:r>
          </w:p>
        </w:tc>
        <w:tc>
          <w:tcPr>
            <w:tcW w:w="183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177</w:t>
            </w:r>
          </w:p>
        </w:tc>
        <w:tc>
          <w:tcPr>
            <w:tcW w:w="87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2</w:t>
            </w:r>
          </w:p>
        </w:tc>
        <w:tc>
          <w:tcPr>
            <w:tcW w:w="96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3240" w:type="dxa"/>
            <w:tcBorders>
              <w:left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柳州市人民检察院</w:t>
            </w:r>
          </w:p>
        </w:tc>
        <w:tc>
          <w:tcPr>
            <w:tcW w:w="90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行政 机关</w:t>
            </w:r>
          </w:p>
        </w:tc>
        <w:tc>
          <w:tcPr>
            <w:tcW w:w="135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122</w:t>
            </w:r>
          </w:p>
        </w:tc>
        <w:tc>
          <w:tcPr>
            <w:tcW w:w="183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135</w:t>
            </w:r>
          </w:p>
        </w:tc>
        <w:tc>
          <w:tcPr>
            <w:tcW w:w="87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2</w:t>
            </w:r>
          </w:p>
        </w:tc>
        <w:tc>
          <w:tcPr>
            <w:tcW w:w="960" w:type="dxa"/>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40" w:type="dxa"/>
            <w:vMerge w:val="restart"/>
            <w:tcBorders>
              <w:left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柳州市露塘地区检察院</w:t>
            </w:r>
          </w:p>
        </w:tc>
        <w:tc>
          <w:tcPr>
            <w:tcW w:w="90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行政 机关</w:t>
            </w:r>
          </w:p>
        </w:tc>
        <w:tc>
          <w:tcPr>
            <w:tcW w:w="135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19</w:t>
            </w:r>
          </w:p>
        </w:tc>
        <w:tc>
          <w:tcPr>
            <w:tcW w:w="183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19</w:t>
            </w:r>
          </w:p>
        </w:tc>
        <w:tc>
          <w:tcPr>
            <w:tcW w:w="87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4"/>
                <w:szCs w:val="24"/>
                <w:lang w:val="en-US" w:eastAsia="zh-CN" w:bidi="ar"/>
              </w:rPr>
              <w:t> </w:t>
            </w:r>
          </w:p>
        </w:tc>
        <w:tc>
          <w:tcPr>
            <w:tcW w:w="96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default"/>
                <w:lang w:val="en-US"/>
              </w:rPr>
            </w:pPr>
            <w:r>
              <w:rPr>
                <w:rFonts w:hint="eastAsia" w:ascii="仿宋_GB2312" w:hAnsi="宋体" w:eastAsia="仿宋_GB2312" w:cs="仿宋_GB2312"/>
                <w:b w:val="0"/>
                <w:i w:val="0"/>
                <w:color w:val="000000"/>
                <w:kern w:val="0"/>
                <w:sz w:val="24"/>
                <w:szCs w:val="24"/>
                <w:lang w:val="en-US" w:eastAsia="zh-CN" w:bidi="ar"/>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40" w:type="dxa"/>
            <w:vMerge w:val="continue"/>
            <w:tcBorders>
              <w:left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0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35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83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87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6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40" w:type="dxa"/>
            <w:vMerge w:val="restart"/>
            <w:tcBorders>
              <w:left w:val="single" w:color="000000" w:sz="18" w:space="0"/>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柳州市鹿寨地区检察院</w:t>
            </w:r>
          </w:p>
        </w:tc>
        <w:tc>
          <w:tcPr>
            <w:tcW w:w="90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行政 机关</w:t>
            </w:r>
          </w:p>
        </w:tc>
        <w:tc>
          <w:tcPr>
            <w:tcW w:w="135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rPr>
                <w:rFonts w:hint="default"/>
                <w:lang w:val="en-US"/>
              </w:rPr>
            </w:pPr>
            <w:r>
              <w:rPr>
                <w:rFonts w:hint="eastAsia" w:ascii="仿宋_GB2312" w:hAnsi="宋体" w:eastAsia="仿宋_GB2312" w:cs="仿宋_GB2312"/>
                <w:b w:val="0"/>
                <w:i w:val="0"/>
                <w:color w:val="000000"/>
                <w:kern w:val="0"/>
                <w:sz w:val="30"/>
                <w:szCs w:val="30"/>
                <w:lang w:val="en-US" w:eastAsia="zh-CN" w:bidi="ar"/>
              </w:rPr>
              <w:t>22</w:t>
            </w:r>
          </w:p>
        </w:tc>
        <w:tc>
          <w:tcPr>
            <w:tcW w:w="183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textAlignment w:val="center"/>
            </w:pPr>
            <w:r>
              <w:rPr>
                <w:rFonts w:hint="eastAsia" w:ascii="仿宋_GB2312" w:hAnsi="宋体" w:eastAsia="仿宋_GB2312" w:cs="仿宋_GB2312"/>
                <w:b w:val="0"/>
                <w:i w:val="0"/>
                <w:color w:val="000000"/>
                <w:kern w:val="0"/>
                <w:sz w:val="30"/>
                <w:szCs w:val="30"/>
                <w:lang w:val="en-US" w:eastAsia="zh-CN" w:bidi="ar"/>
              </w:rPr>
              <w:t>23</w:t>
            </w:r>
          </w:p>
        </w:tc>
        <w:tc>
          <w:tcPr>
            <w:tcW w:w="870" w:type="dxa"/>
            <w:vMerge w:val="restart"/>
            <w:tcBorders>
              <w:bottom w:val="single" w:color="000000" w:sz="12"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仿宋_GB2312" w:hAnsi="宋体" w:eastAsia="仿宋_GB2312" w:cs="仿宋_GB2312"/>
                <w:b w:val="0"/>
                <w:i w:val="0"/>
                <w:color w:val="000000"/>
                <w:kern w:val="0"/>
                <w:sz w:val="24"/>
                <w:szCs w:val="24"/>
                <w:lang w:val="en-US" w:eastAsia="zh-CN" w:bidi="ar"/>
              </w:rPr>
              <w:t> </w:t>
            </w:r>
          </w:p>
        </w:tc>
        <w:tc>
          <w:tcPr>
            <w:tcW w:w="960" w:type="dxa"/>
            <w:vMerge w:val="restart"/>
            <w:tcBorders>
              <w:bottom w:val="single" w:color="000000" w:sz="18" w:space="0"/>
              <w:right w:val="single" w:color="000000" w:sz="12"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default"/>
                <w:lang w:val="en-US"/>
              </w:rPr>
            </w:pPr>
            <w:r>
              <w:rPr>
                <w:rFonts w:hint="eastAsia" w:ascii="仿宋_GB2312" w:hAnsi="宋体" w:eastAsia="仿宋_GB2312" w:cs="仿宋_GB2312"/>
                <w:b w:val="0"/>
                <w:i w:val="0"/>
                <w:color w:val="000000"/>
                <w:kern w:val="0"/>
                <w:sz w:val="24"/>
                <w:szCs w:val="24"/>
                <w:lang w:val="en-US" w:eastAsia="zh-CN" w:bidi="ar"/>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40" w:type="dxa"/>
            <w:vMerge w:val="continue"/>
            <w:tcBorders>
              <w:left w:val="single" w:color="000000" w:sz="18" w:space="0"/>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0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35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183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870" w:type="dxa"/>
            <w:vMerge w:val="continue"/>
            <w:tcBorders>
              <w:bottom w:val="single" w:color="000000" w:sz="12" w:space="0"/>
              <w:right w:val="single" w:color="000000" w:sz="12" w:space="0"/>
            </w:tcBorders>
            <w:noWrap w:val="0"/>
            <w:vAlign w:val="center"/>
          </w:tcPr>
          <w:p>
            <w:pPr>
              <w:rPr>
                <w:rFonts w:hint="eastAsia" w:ascii="宋体" w:hAnsi="宋体" w:eastAsia="宋体" w:cs="宋体"/>
                <w:b w:val="0"/>
                <w:sz w:val="21"/>
                <w:szCs w:val="21"/>
              </w:rPr>
            </w:pPr>
          </w:p>
        </w:tc>
        <w:tc>
          <w:tcPr>
            <w:tcW w:w="960" w:type="dxa"/>
            <w:vMerge w:val="continue"/>
            <w:tcBorders>
              <w:bottom w:val="single" w:color="000000" w:sz="18" w:space="0"/>
              <w:right w:val="single" w:color="000000" w:sz="12" w:space="0"/>
            </w:tcBorders>
            <w:noWrap w:val="0"/>
            <w:vAlign w:val="center"/>
          </w:tcPr>
          <w:p>
            <w:pPr>
              <w:rPr>
                <w:rFonts w:hint="eastAsia" w:ascii="宋体" w:hAnsi="宋体" w:eastAsia="宋体" w:cs="宋体"/>
                <w:b w:val="0"/>
                <w:sz w:val="21"/>
                <w:szCs w:val="21"/>
              </w:rPr>
            </w:pPr>
          </w:p>
        </w:tc>
      </w:tr>
    </w:tbl>
    <w:p>
      <w:pPr>
        <w:numPr>
          <w:ilvl w:val="0"/>
          <w:numId w:val="0"/>
        </w:numPr>
        <w:ind w:firstLine="0"/>
        <w:rPr>
          <w:rFonts w:hint="eastAsia" w:ascii="仿宋_GB2312" w:eastAsia="仿宋_GB2312"/>
          <w:sz w:val="32"/>
          <w:szCs w:val="32"/>
        </w:rPr>
      </w:pPr>
    </w:p>
    <w:p>
      <w:pPr>
        <w:ind w:firstLine="645"/>
        <w:rPr>
          <w:rFonts w:hint="eastAsia" w:ascii="仿宋_GB2312" w:eastAsia="仿宋_GB2312"/>
          <w:sz w:val="32"/>
          <w:szCs w:val="32"/>
        </w:rPr>
      </w:pPr>
    </w:p>
    <w:p>
      <w:pPr>
        <w:jc w:val="center"/>
        <w:rPr>
          <w:rFonts w:hint="eastAsia"/>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624"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7799.14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6474.16</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200.00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627.01</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437.80</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八</w:t>
            </w:r>
            <w:r>
              <w:rPr>
                <w:rFonts w:hint="eastAsia" w:ascii="宋体" w:hAnsi="宋体" w:cs="宋体"/>
                <w:color w:val="000000"/>
                <w:kern w:val="0"/>
                <w:sz w:val="22"/>
                <w:szCs w:val="22"/>
              </w:rPr>
              <w:t>、城乡社区支出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九、住房保障支出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368.39</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十、其他支出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60.01</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8000.76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bCs/>
                <w:color w:val="000000"/>
                <w:kern w:val="0"/>
                <w:sz w:val="22"/>
                <w:szCs w:val="22"/>
                <w:lang w:val="en-US" w:eastAsia="zh-CN"/>
              </w:rPr>
              <w:t>8167.37</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1152.09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985.48</w:t>
            </w: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9152.85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9152.85</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6"/>
        <w:tblW w:w="14140" w:type="dxa"/>
        <w:jc w:val="center"/>
        <w:tblLayout w:type="fixed"/>
        <w:tblCellMar>
          <w:top w:w="0" w:type="dxa"/>
          <w:left w:w="108" w:type="dxa"/>
          <w:bottom w:w="0" w:type="dxa"/>
          <w:right w:w="108" w:type="dxa"/>
        </w:tblCellMar>
      </w:tblPr>
      <w:tblGrid>
        <w:gridCol w:w="1348"/>
        <w:gridCol w:w="2012"/>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0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8,000.76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7,999.14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1.62</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6,138.46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6,136.88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检察</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6,123.94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6,122.36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3,857.68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3,856.10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2040402</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一般行政管理事务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916.78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916.78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2040410</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检察监督</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716.00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716.00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2040499</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其他检察支出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633.48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633.48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20405</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法院</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2040501</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717.80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717.80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0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717.80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717.80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214.36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214.36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503.44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503.44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516.23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516.23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516.23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516.23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300.14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300.14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2101199</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0.72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0.72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368.24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368.24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368.24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368.24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359.36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359.36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0.04</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0.04</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0.04</w:t>
            </w: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6"/>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8,167.37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5,099.07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3,068.30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公共安全支出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6,474.16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3,665.86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2,808.30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检察</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6,459.64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3,651.34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2,808.30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3,646.85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3,646.85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一般行政管理事务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980.59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976.10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检察监督</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498.61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498.61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其他检察支出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1,333.59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1,333.59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法院</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2040501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14.52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7"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627.01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627.01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627.01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627.01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213.29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213.29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413.72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413.72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437.80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437.80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437.80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437.80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177.00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177.00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260.80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260.80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368.39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368.39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368.39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368.39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359.51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359.51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8.87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rPr>
      </w:pP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843"/>
        <w:gridCol w:w="705"/>
        <w:gridCol w:w="143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84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3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3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7799.14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200.00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21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6474.16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6474.16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627.01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627.01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437.80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437.80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cs="宋体"/>
                <w:i w:val="0"/>
                <w:color w:val="000000"/>
                <w:kern w:val="0"/>
                <w:sz w:val="22"/>
                <w:szCs w:val="22"/>
                <w:u w:val="none"/>
                <w:lang w:val="en-US" w:eastAsia="zh-CN" w:bidi="ar"/>
              </w:rPr>
              <w:t>八</w:t>
            </w:r>
            <w:r>
              <w:rPr>
                <w:rFonts w:hint="eastAsia" w:ascii="宋体" w:hAnsi="宋体" w:eastAsia="宋体" w:cs="宋体"/>
                <w:i w:val="0"/>
                <w:color w:val="000000"/>
                <w:kern w:val="0"/>
                <w:sz w:val="22"/>
                <w:szCs w:val="22"/>
                <w:u w:val="none"/>
                <w:lang w:val="en-US" w:eastAsia="zh-CN" w:bidi="ar"/>
              </w:rPr>
              <w:t>、城乡社区支出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200.00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368.39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368.39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十、其他支出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60.00 </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60.00 </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43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7999.14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8167.36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1141.88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973.66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1141.88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432"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0.00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843"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43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9141.02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9141.02 </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7967.3</w:t>
            </w:r>
            <w:r>
              <w:rPr>
                <w:rFonts w:hint="eastAsia" w:ascii="宋体" w:hAnsi="宋体" w:cs="宋体"/>
                <w:i w:val="0"/>
                <w:color w:val="000000"/>
                <w:kern w:val="0"/>
                <w:sz w:val="24"/>
                <w:szCs w:val="24"/>
                <w:u w:val="none"/>
                <w:lang w:val="en-US" w:eastAsia="zh-CN" w:bidi="ar"/>
              </w:rPr>
              <w:t>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5099.05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2868.30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6,474.16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3,665.86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2,808.30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检察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6,459.64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3,651.34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2,808.30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2040401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3,646.85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3,646.85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2040402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980.59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4.49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976.10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2040410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检察监督</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498.61</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498.61</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2040499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其他检察支出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1,333.59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1,333.59</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20405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法院</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14.52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14.52</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2040501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14.52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14.52</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627.01</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627.01</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627.01</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627.01</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213.29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213.29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413.72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413.72</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437.80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437.80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437.80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437.80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177.00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177.00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260.80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260.80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368.39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368.39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368.39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368.39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359.51</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359.51</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购房补贴</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8.87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8.87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60.00</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697" w:type="dxa"/>
        <w:tblInd w:w="-453" w:type="dxa"/>
        <w:tblLayout w:type="fixed"/>
        <w:tblCellMar>
          <w:top w:w="0" w:type="dxa"/>
          <w:left w:w="108" w:type="dxa"/>
          <w:bottom w:w="0" w:type="dxa"/>
          <w:right w:w="108" w:type="dxa"/>
        </w:tblCellMar>
      </w:tblPr>
      <w:tblGrid>
        <w:gridCol w:w="1020"/>
        <w:gridCol w:w="2820"/>
        <w:gridCol w:w="1035"/>
        <w:gridCol w:w="1005"/>
        <w:gridCol w:w="2212"/>
        <w:gridCol w:w="1605"/>
      </w:tblGrid>
      <w:tr>
        <w:tblPrEx>
          <w:tblCellMar>
            <w:top w:w="0" w:type="dxa"/>
            <w:left w:w="108" w:type="dxa"/>
            <w:bottom w:w="0" w:type="dxa"/>
            <w:right w:w="108" w:type="dxa"/>
          </w:tblCellMar>
        </w:tblPrEx>
        <w:trPr>
          <w:trHeight w:val="564" w:hRule="atLeast"/>
        </w:trPr>
        <w:tc>
          <w:tcPr>
            <w:tcW w:w="48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8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1020"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82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035"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10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221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4291.05 </w:t>
            </w: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603.68 </w:t>
            </w:r>
          </w:p>
        </w:tc>
      </w:tr>
      <w:tr>
        <w:tblPrEx>
          <w:tblCellMar>
            <w:top w:w="0" w:type="dxa"/>
            <w:left w:w="108" w:type="dxa"/>
            <w:bottom w:w="0" w:type="dxa"/>
            <w:right w:w="108" w:type="dxa"/>
          </w:tblCellMar>
        </w:tblPrEx>
        <w:trPr>
          <w:trHeight w:val="264"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30101</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986.98 </w:t>
            </w:r>
          </w:p>
        </w:tc>
        <w:tc>
          <w:tcPr>
            <w:tcW w:w="10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133.54 </w:t>
            </w:r>
          </w:p>
        </w:tc>
      </w:tr>
      <w:tr>
        <w:tblPrEx>
          <w:tblCellMar>
            <w:top w:w="0" w:type="dxa"/>
            <w:left w:w="108" w:type="dxa"/>
            <w:bottom w:w="0" w:type="dxa"/>
            <w:right w:w="108" w:type="dxa"/>
          </w:tblCellMar>
        </w:tblPrEx>
        <w:trPr>
          <w:trHeight w:val="264"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30102</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762.67 </w:t>
            </w:r>
          </w:p>
        </w:tc>
        <w:tc>
          <w:tcPr>
            <w:tcW w:w="10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3.10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30103</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资金  </w:t>
            </w:r>
            <w:r>
              <w:rPr>
                <w:rFonts w:ascii="宋体" w:hAnsi="宋体" w:cs="Arial"/>
                <w:color w:val="000000"/>
                <w:kern w:val="0"/>
                <w:sz w:val="22"/>
                <w:szCs w:val="22"/>
              </w:rPr>
              <w:t>　</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1181.38 </w:t>
            </w: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30303</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30104</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其他社会保障缴费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9.73</w:t>
            </w: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0.06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30106</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伙食补助费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65.62 </w:t>
            </w:r>
          </w:p>
        </w:tc>
        <w:tc>
          <w:tcPr>
            <w:tcW w:w="10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2.79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30107</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绩效工资</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97.19 </w:t>
            </w:r>
          </w:p>
        </w:tc>
        <w:tc>
          <w:tcPr>
            <w:tcW w:w="10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30306</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50.45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30108</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机关事业单位基本养老保险缴费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389.86 </w:t>
            </w: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30307</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38.58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30109</w:t>
            </w:r>
          </w:p>
        </w:tc>
        <w:tc>
          <w:tcPr>
            <w:tcW w:w="28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职业年金缴费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30110</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165.89 </w:t>
            </w:r>
          </w:p>
        </w:tc>
        <w:tc>
          <w:tcPr>
            <w:tcW w:w="10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221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0.30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30111</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245.10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30211</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差旅费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6.14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30113</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  住房公积金</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377.84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30212</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30199</w:t>
            </w: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其他工资福利支出</w:t>
            </w:r>
          </w:p>
        </w:tc>
        <w:tc>
          <w:tcPr>
            <w:tcW w:w="103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8.78</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30213</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维修（护）费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12.07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303</w:t>
            </w: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对个人家庭的补助</w:t>
            </w:r>
            <w:r>
              <w:rPr>
                <w:rFonts w:ascii="宋体" w:hAnsi="宋体" w:cs="Arial"/>
                <w:color w:val="000000"/>
                <w:kern w:val="0"/>
                <w:sz w:val="22"/>
                <w:szCs w:val="22"/>
              </w:rPr>
              <w:t>　</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204.33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30214</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租赁费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0.24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30301</w:t>
            </w: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离休费</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32.57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30215</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会议费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6.00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30302</w:t>
            </w: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退休费</w:t>
            </w:r>
            <w:r>
              <w:rPr>
                <w:rFonts w:ascii="宋体" w:hAnsi="宋体" w:cs="Arial"/>
                <w:color w:val="000000"/>
                <w:kern w:val="0"/>
                <w:sz w:val="22"/>
                <w:szCs w:val="22"/>
              </w:rPr>
              <w:t>　</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24.74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30216</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培训费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16.70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30304</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  抚恤金</w:t>
            </w:r>
          </w:p>
        </w:tc>
        <w:tc>
          <w:tcPr>
            <w:tcW w:w="1035" w:type="dxa"/>
            <w:tcBorders>
              <w:top w:val="nil"/>
              <w:left w:val="nil"/>
              <w:bottom w:val="single" w:color="auto" w:sz="4" w:space="0"/>
              <w:right w:val="single" w:color="auto" w:sz="4" w:space="0"/>
            </w:tcBorders>
            <w:vAlign w:val="center"/>
          </w:tcPr>
          <w:p>
            <w:pPr>
              <w:jc w:val="righ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88.34</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30217</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公务接待费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5.91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30305</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 xml:space="preserve">  生活补助</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58.69 </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30218</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专用材料费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0.69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30306</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救济费</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30224</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被装购置费</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30307</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医疗费补助</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30225</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专用燃料费</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30308</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助学金</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30226</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劳务费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1.24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30309</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奖励金</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30227</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委托业务费</w:t>
            </w:r>
          </w:p>
        </w:tc>
        <w:tc>
          <w:tcPr>
            <w:tcW w:w="1605"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30310</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30228</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工会经费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46.37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30399</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035" w:type="dxa"/>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30229</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福利费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6.21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30231</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34.72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Arial"/>
                <w:color w:val="000000"/>
                <w:kern w:val="0"/>
                <w:sz w:val="22"/>
                <w:szCs w:val="22"/>
                <w:lang w:val="en-US" w:eastAsia="zh-CN" w:bidi="ar-SA"/>
              </w:rPr>
            </w:pP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30239</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其他交通费用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153.49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bidi="ar-SA"/>
              </w:rPr>
            </w:pPr>
          </w:p>
        </w:tc>
        <w:tc>
          <w:tcPr>
            <w:tcW w:w="282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30240</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10.89 </w:t>
            </w:r>
          </w:p>
        </w:tc>
      </w:tr>
      <w:tr>
        <w:tblPrEx>
          <w:tblCellMar>
            <w:top w:w="0" w:type="dxa"/>
            <w:left w:w="108" w:type="dxa"/>
            <w:bottom w:w="0" w:type="dxa"/>
            <w:right w:w="108" w:type="dxa"/>
          </w:tblCellMar>
        </w:tblPrEx>
        <w:trPr>
          <w:trHeight w:val="276" w:hRule="atLeast"/>
        </w:trPr>
        <w:tc>
          <w:tcPr>
            <w:tcW w:w="10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30299</w:t>
            </w:r>
          </w:p>
        </w:tc>
        <w:tc>
          <w:tcPr>
            <w:tcW w:w="22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74.18 </w:t>
            </w:r>
          </w:p>
        </w:tc>
      </w:tr>
      <w:tr>
        <w:tblPrEx>
          <w:tblCellMar>
            <w:top w:w="0" w:type="dxa"/>
            <w:left w:w="108" w:type="dxa"/>
            <w:bottom w:w="0" w:type="dxa"/>
            <w:right w:w="108" w:type="dxa"/>
          </w:tblCellMar>
        </w:tblPrEx>
        <w:trPr>
          <w:trHeight w:val="264" w:hRule="atLeast"/>
        </w:trPr>
        <w:tc>
          <w:tcPr>
            <w:tcW w:w="384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人员经费合计</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4495.38 </w:t>
            </w:r>
          </w:p>
        </w:tc>
        <w:tc>
          <w:tcPr>
            <w:tcW w:w="321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603.68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w:t>
      </w:r>
    </w:p>
    <w:p>
      <w:pPr>
        <w:jc w:val="both"/>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150"/>
        <w:gridCol w:w="872"/>
        <w:gridCol w:w="1468"/>
        <w:gridCol w:w="898"/>
        <w:gridCol w:w="1398"/>
        <w:gridCol w:w="1208"/>
        <w:gridCol w:w="1183"/>
      </w:tblGrid>
      <w:tr>
        <w:tblPrEx>
          <w:tblCellMar>
            <w:top w:w="0" w:type="dxa"/>
            <w:left w:w="108" w:type="dxa"/>
            <w:bottom w:w="0" w:type="dxa"/>
            <w:right w:w="108" w:type="dxa"/>
          </w:tblCellMar>
        </w:tblPrEx>
        <w:trPr>
          <w:trHeight w:val="540" w:hRule="atLeast"/>
          <w:jc w:val="center"/>
        </w:trPr>
        <w:tc>
          <w:tcPr>
            <w:tcW w:w="689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702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5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68"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5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5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68"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6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116.56</w:t>
            </w:r>
          </w:p>
        </w:tc>
        <w:tc>
          <w:tcPr>
            <w:tcW w:w="1603" w:type="dxa"/>
            <w:tcBorders>
              <w:top w:val="nil"/>
              <w:left w:val="nil"/>
              <w:bottom w:val="single" w:color="auto" w:sz="4" w:space="0"/>
              <w:right w:val="single" w:color="auto" w:sz="4" w:space="0"/>
            </w:tcBorders>
            <w:vAlign w:val="center"/>
          </w:tcPr>
          <w:p>
            <w:pPr>
              <w:widowControl/>
              <w:ind w:firstLine="200" w:firstLineChars="100"/>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0.71</w:t>
            </w:r>
          </w:p>
        </w:tc>
        <w:tc>
          <w:tcPr>
            <w:tcW w:w="828"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lang w:val="en-US" w:eastAsia="zh-CN"/>
              </w:rPr>
              <w:t>104.82</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53.94</w:t>
            </w:r>
          </w:p>
        </w:tc>
        <w:tc>
          <w:tcPr>
            <w:tcW w:w="1242" w:type="dxa"/>
            <w:tcBorders>
              <w:top w:val="nil"/>
              <w:left w:val="nil"/>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50.88</w:t>
            </w:r>
          </w:p>
        </w:tc>
        <w:tc>
          <w:tcPr>
            <w:tcW w:w="1150" w:type="dxa"/>
            <w:tcBorders>
              <w:top w:val="nil"/>
              <w:left w:val="nil"/>
              <w:bottom w:val="single" w:color="auto" w:sz="4" w:space="0"/>
              <w:right w:val="single" w:color="auto" w:sz="4" w:space="0"/>
            </w:tcBorders>
            <w:vAlign w:val="center"/>
          </w:tcPr>
          <w:p>
            <w:pPr>
              <w:widowControl/>
              <w:ind w:firstLine="200" w:firstLineChars="100"/>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11.03</w:t>
            </w:r>
          </w:p>
        </w:tc>
        <w:tc>
          <w:tcPr>
            <w:tcW w:w="872" w:type="dxa"/>
            <w:tcBorders>
              <w:top w:val="nil"/>
              <w:left w:val="nil"/>
              <w:bottom w:val="single" w:color="auto" w:sz="4" w:space="0"/>
              <w:right w:val="single" w:color="auto" w:sz="4" w:space="0"/>
            </w:tcBorders>
            <w:vAlign w:val="center"/>
          </w:tcPr>
          <w:p>
            <w:pPr>
              <w:widowControl/>
              <w:jc w:val="righ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113.13</w:t>
            </w:r>
          </w:p>
        </w:tc>
        <w:tc>
          <w:tcPr>
            <w:tcW w:w="1468" w:type="dxa"/>
            <w:tcBorders>
              <w:top w:val="nil"/>
              <w:left w:val="nil"/>
              <w:bottom w:val="single" w:color="auto" w:sz="4" w:space="0"/>
              <w:right w:val="single" w:color="auto" w:sz="4" w:space="0"/>
            </w:tcBorders>
            <w:vAlign w:val="center"/>
          </w:tcPr>
          <w:p>
            <w:pPr>
              <w:widowControl/>
              <w:ind w:firstLine="200" w:firstLineChars="100"/>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0.71</w:t>
            </w:r>
          </w:p>
        </w:tc>
        <w:tc>
          <w:tcPr>
            <w:tcW w:w="898"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lang w:val="en-US" w:eastAsia="zh-CN"/>
              </w:rPr>
              <w:t>101.81</w:t>
            </w: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center"/>
          </w:tcPr>
          <w:p>
            <w:pPr>
              <w:widowControl/>
              <w:ind w:firstLine="400" w:firstLineChars="200"/>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53.20</w:t>
            </w:r>
          </w:p>
        </w:tc>
        <w:tc>
          <w:tcPr>
            <w:tcW w:w="1208"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lang w:val="en-US" w:eastAsia="zh-CN"/>
              </w:rPr>
              <w:t>48.61</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center"/>
          </w:tcPr>
          <w:p>
            <w:pPr>
              <w:widowControl/>
              <w:ind w:firstLine="200" w:firstLineChars="100"/>
              <w:jc w:val="righ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10.61</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37"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200.00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柳州市人民检察院</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w:t>
      </w:r>
      <w:r>
        <w:rPr>
          <w:rFonts w:hint="eastAsia" w:ascii="仿宋_GB2312" w:eastAsia="仿宋_GB2312" w:cs="仿宋_GB2312"/>
          <w:b w:val="0"/>
          <w:bCs/>
          <w:kern w:val="0"/>
          <w:sz w:val="32"/>
          <w:szCs w:val="32"/>
          <w:lang w:eastAsia="zh-CN"/>
        </w:rPr>
        <w:t>入、支出</w:t>
      </w:r>
      <w:r>
        <w:rPr>
          <w:rFonts w:hint="eastAsia" w:ascii="仿宋_GB2312" w:eastAsia="仿宋_GB2312" w:cs="仿宋_GB2312"/>
          <w:b w:val="0"/>
          <w:bCs/>
          <w:kern w:val="0"/>
          <w:sz w:val="32"/>
          <w:szCs w:val="32"/>
        </w:rPr>
        <w:t>总计</w:t>
      </w:r>
      <w:r>
        <w:rPr>
          <w:rFonts w:hint="eastAsia" w:ascii="仿宋_GB2312" w:eastAsia="仿宋_GB2312" w:cs="仿宋_GB2312"/>
          <w:b w:val="0"/>
          <w:bCs/>
          <w:kern w:val="0"/>
          <w:sz w:val="32"/>
          <w:szCs w:val="32"/>
          <w:lang w:val="en-US" w:eastAsia="zh-CN"/>
        </w:rPr>
        <w:t>9152.85</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w:t>
      </w:r>
      <w:r>
        <w:rPr>
          <w:rFonts w:hint="eastAsia" w:ascii="仿宋_GB2312" w:eastAsia="仿宋_GB2312" w:cs="仿宋_GB2312"/>
          <w:b w:val="0"/>
          <w:bCs/>
          <w:kern w:val="0"/>
          <w:sz w:val="32"/>
          <w:szCs w:val="32"/>
          <w:lang w:eastAsia="zh-CN"/>
        </w:rPr>
        <w:t>、支各</w:t>
      </w:r>
      <w:r>
        <w:rPr>
          <w:rFonts w:hint="eastAsia" w:ascii="仿宋_GB2312" w:eastAsia="仿宋_GB2312" w:cs="仿宋_GB2312"/>
          <w:b w:val="0"/>
          <w:bCs/>
          <w:kern w:val="0"/>
          <w:sz w:val="32"/>
          <w:szCs w:val="32"/>
        </w:rPr>
        <w:t>增加</w:t>
      </w:r>
      <w:r>
        <w:rPr>
          <w:rFonts w:hint="eastAsia" w:ascii="仿宋_GB2312" w:eastAsia="仿宋_GB2312" w:cs="仿宋_GB2312"/>
          <w:b w:val="0"/>
          <w:bCs/>
          <w:kern w:val="0"/>
          <w:sz w:val="32"/>
          <w:szCs w:val="32"/>
          <w:lang w:val="en-US" w:eastAsia="zh-CN"/>
        </w:rPr>
        <w:t>493.55万元，</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5.70</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8000.76</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7799.14</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97.48%</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200万元；占比2.5%；</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0万</w:t>
      </w:r>
      <w:r>
        <w:rPr>
          <w:rFonts w:hint="eastAsia" w:ascii="仿宋_GB2312" w:eastAsia="仿宋_GB2312" w:cs="仿宋_GB2312"/>
          <w:b w:val="0"/>
          <w:bCs/>
          <w:kern w:val="0"/>
          <w:sz w:val="32"/>
          <w:szCs w:val="32"/>
        </w:rPr>
        <w:t>元；事业收入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万元；其他收入</w:t>
      </w:r>
      <w:r>
        <w:rPr>
          <w:rFonts w:hint="eastAsia" w:ascii="仿宋_GB2312" w:eastAsia="仿宋_GB2312" w:cs="仿宋_GB2312"/>
          <w:b w:val="0"/>
          <w:bCs/>
          <w:kern w:val="0"/>
          <w:sz w:val="32"/>
          <w:szCs w:val="32"/>
          <w:lang w:val="en-US" w:eastAsia="zh-CN"/>
        </w:rPr>
        <w:t>1.62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0.02%</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8167.37</w:t>
      </w:r>
      <w:r>
        <w:rPr>
          <w:rFonts w:hint="eastAsia" w:ascii="仿宋_GB2312" w:eastAsia="仿宋_GB2312" w:cs="仿宋_GB2312"/>
          <w:b w:val="0"/>
          <w:bCs/>
          <w:kern w:val="0"/>
          <w:sz w:val="32"/>
          <w:szCs w:val="32"/>
        </w:rPr>
        <w:t xml:space="preserve"> 万元，其中：基本支出</w:t>
      </w:r>
      <w:r>
        <w:rPr>
          <w:rFonts w:hint="eastAsia" w:ascii="仿宋_GB2312" w:eastAsia="仿宋_GB2312" w:cs="仿宋_GB2312"/>
          <w:b w:val="0"/>
          <w:bCs/>
          <w:kern w:val="0"/>
          <w:sz w:val="32"/>
          <w:szCs w:val="32"/>
          <w:lang w:val="en-US" w:eastAsia="zh-CN"/>
        </w:rPr>
        <w:t>5099.07</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62.43</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3068.30</w:t>
      </w:r>
      <w:r>
        <w:rPr>
          <w:rFonts w:hint="eastAsia" w:ascii="仿宋_GB2312" w:eastAsia="仿宋_GB2312" w:cs="仿宋_GB2312"/>
          <w:b w:val="0"/>
          <w:bCs/>
          <w:kern w:val="0"/>
          <w:sz w:val="32"/>
          <w:szCs w:val="32"/>
        </w:rPr>
        <w:t>万元， 占</w:t>
      </w:r>
      <w:r>
        <w:rPr>
          <w:rFonts w:hint="eastAsia" w:ascii="仿宋_GB2312" w:eastAsia="仿宋_GB2312" w:cs="仿宋_GB2312"/>
          <w:b w:val="0"/>
          <w:bCs/>
          <w:kern w:val="0"/>
          <w:sz w:val="32"/>
          <w:szCs w:val="32"/>
          <w:lang w:val="en-US" w:eastAsia="zh-CN"/>
        </w:rPr>
        <w:t>37.57</w:t>
      </w:r>
      <w:r>
        <w:rPr>
          <w:rFonts w:hint="eastAsia" w:ascii="仿宋_GB2312" w:eastAsia="仿宋_GB2312" w:cs="仿宋_GB2312"/>
          <w:b w:val="0"/>
          <w:bCs/>
          <w:kern w:val="0"/>
          <w:sz w:val="32"/>
          <w:szCs w:val="32"/>
        </w:rPr>
        <w:t>%；经营支出</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w:t>
      </w:r>
      <w:r>
        <w:rPr>
          <w:rFonts w:hint="eastAsia" w:ascii="仿宋_GB2312" w:eastAsia="仿宋_GB2312" w:cs="仿宋_GB2312"/>
          <w:bCs/>
          <w:kern w:val="0"/>
          <w:sz w:val="32"/>
          <w:szCs w:val="32"/>
          <w:lang w:eastAsia="zh-CN"/>
        </w:rPr>
        <w:t>、支总决算</w:t>
      </w:r>
      <w:r>
        <w:rPr>
          <w:rFonts w:hint="eastAsia" w:ascii="仿宋_GB2312" w:eastAsia="仿宋_GB2312" w:cs="仿宋_GB2312"/>
          <w:bCs/>
          <w:kern w:val="0"/>
          <w:sz w:val="32"/>
          <w:szCs w:val="32"/>
          <w:lang w:val="en-US" w:eastAsia="zh-CN"/>
        </w:rPr>
        <w:t>9141.02</w:t>
      </w:r>
      <w:r>
        <w:rPr>
          <w:rFonts w:hint="eastAsia" w:ascii="仿宋_GB2312" w:eastAsia="仿宋_GB2312" w:cs="仿宋_GB2312"/>
          <w:bCs/>
          <w:kern w:val="0"/>
          <w:sz w:val="32"/>
          <w:szCs w:val="32"/>
        </w:rPr>
        <w:t>万元。与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w:t>
      </w:r>
      <w:r>
        <w:rPr>
          <w:rFonts w:hint="eastAsia" w:ascii="仿宋_GB2312" w:eastAsia="仿宋_GB2312" w:cs="仿宋_GB2312"/>
          <w:bCs/>
          <w:kern w:val="0"/>
          <w:sz w:val="32"/>
          <w:szCs w:val="32"/>
          <w:lang w:eastAsia="zh-CN"/>
        </w:rPr>
        <w:t>、支</w:t>
      </w:r>
      <w:r>
        <w:rPr>
          <w:rFonts w:hint="eastAsia" w:ascii="仿宋_GB2312" w:eastAsia="仿宋_GB2312" w:cs="仿宋_GB2312"/>
          <w:bCs/>
          <w:kern w:val="0"/>
          <w:sz w:val="32"/>
          <w:szCs w:val="32"/>
        </w:rPr>
        <w:t>总计各增加</w:t>
      </w:r>
      <w:r>
        <w:rPr>
          <w:rFonts w:hint="eastAsia" w:ascii="仿宋_GB2312" w:eastAsia="仿宋_GB2312" w:cs="仿宋_GB2312"/>
          <w:bCs/>
          <w:kern w:val="0"/>
          <w:sz w:val="32"/>
          <w:szCs w:val="32"/>
          <w:lang w:val="en-US" w:eastAsia="zh-CN"/>
        </w:rPr>
        <w:t>501.28</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5.80</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7967.36</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97.55</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488.66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6.53</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7967.36</w:t>
      </w:r>
      <w:r>
        <w:rPr>
          <w:rFonts w:hint="eastAsia" w:ascii="仿宋_GB2312" w:eastAsia="仿宋_GB2312" w:cs="仿宋_GB2312"/>
          <w:bCs/>
          <w:kern w:val="0"/>
          <w:sz w:val="32"/>
          <w:szCs w:val="32"/>
        </w:rPr>
        <w:t>万元，主要用于以下方面：</w:t>
      </w:r>
      <w:r>
        <w:rPr>
          <w:rFonts w:hint="eastAsia" w:ascii="仿宋_GB2312" w:eastAsia="仿宋_GB2312" w:cs="仿宋_GB2312"/>
          <w:bCs/>
          <w:kern w:val="0"/>
          <w:sz w:val="32"/>
          <w:szCs w:val="32"/>
          <w:lang w:eastAsia="zh-CN"/>
        </w:rPr>
        <w:t>公共安全</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6474.16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81.26</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627.01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7.87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437.80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5.50</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368.39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4.62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lang w:val="en-US" w:eastAsia="zh-CN"/>
        </w:rPr>
        <w:t>60万元，占0.75%</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5026.14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7967.36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158.52</w:t>
      </w:r>
      <w:r>
        <w:rPr>
          <w:rFonts w:hint="eastAsia" w:ascii="仿宋_GB2312" w:eastAsia="仿宋_GB2312" w:cs="仿宋_GB2312"/>
          <w:bCs/>
          <w:kern w:val="0"/>
          <w:sz w:val="32"/>
          <w:szCs w:val="32"/>
        </w:rPr>
        <w:t>%。决算数大于预算数的主要原因：一是年中追加安排财政拨款支出预算，涉及项目有公共安全（检察）行政运行</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公共安全（检察）一般行政管理事务</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公共安全（检察）其它检察支出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归口管理的行政单位离退休</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行政单位医疗</w:t>
      </w:r>
      <w:r>
        <w:rPr>
          <w:rFonts w:hint="eastAsia" w:ascii="仿宋_GB2312" w:eastAsia="仿宋_GB2312" w:cs="仿宋_GB2312"/>
          <w:bCs/>
          <w:kern w:val="0"/>
          <w:sz w:val="32"/>
          <w:szCs w:val="32"/>
          <w:lang w:eastAsia="zh-CN"/>
        </w:rPr>
        <w:t>、住房公积金、住房保险、城乡社区支出、其他支出</w:t>
      </w:r>
      <w:r>
        <w:rPr>
          <w:rFonts w:hint="eastAsia" w:ascii="仿宋_GB2312" w:eastAsia="仿宋_GB2312" w:cs="仿宋_GB2312"/>
          <w:bCs/>
          <w:kern w:val="0"/>
          <w:sz w:val="32"/>
          <w:szCs w:val="32"/>
        </w:rPr>
        <w:t>；二是部分支出按规定，通过使用以前年度财政拨款结转资金解决。其中：</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eastAsia="zh-CN"/>
        </w:rPr>
        <w:t>公共安全支出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（款）行政运行（项）。 年初预算为</w:t>
      </w:r>
      <w:r>
        <w:rPr>
          <w:rFonts w:hint="eastAsia" w:ascii="仿宋_GB2312" w:eastAsia="仿宋_GB2312" w:cs="仿宋_GB2312"/>
          <w:bCs/>
          <w:kern w:val="0"/>
          <w:sz w:val="32"/>
          <w:szCs w:val="32"/>
          <w:highlight w:val="none"/>
          <w:lang w:val="en-US" w:eastAsia="zh-CN"/>
        </w:rPr>
        <w:t>2490.18</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3646.85</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eastAsia="zh-CN"/>
        </w:rPr>
        <w:t>1</w:t>
      </w:r>
      <w:r>
        <w:rPr>
          <w:rFonts w:hint="eastAsia" w:ascii="仿宋_GB2312" w:eastAsia="仿宋_GB2312" w:cs="仿宋_GB2312"/>
          <w:bCs/>
          <w:kern w:val="0"/>
          <w:sz w:val="32"/>
          <w:szCs w:val="32"/>
          <w:highlight w:val="none"/>
          <w:lang w:val="en-US" w:eastAsia="zh-CN"/>
        </w:rPr>
        <w:t>46.45</w:t>
      </w:r>
      <w:r>
        <w:rPr>
          <w:rFonts w:hint="eastAsia" w:ascii="仿宋_GB2312" w:eastAsia="仿宋_GB2312" w:cs="仿宋_GB2312"/>
          <w:bCs/>
          <w:kern w:val="0"/>
          <w:sz w:val="32"/>
          <w:szCs w:val="32"/>
          <w:highlight w:val="none"/>
        </w:rPr>
        <w:t>%。决算数大于预算数的主要原因是</w:t>
      </w:r>
      <w:r>
        <w:rPr>
          <w:rFonts w:hint="eastAsia" w:ascii="仿宋_GB2312" w:eastAsia="仿宋_GB2312" w:cs="仿宋_GB2312"/>
          <w:bCs/>
          <w:kern w:val="0"/>
          <w:sz w:val="32"/>
          <w:szCs w:val="32"/>
          <w:highlight w:val="none"/>
          <w:lang w:eastAsia="zh-CN"/>
        </w:rPr>
        <w:t>：</w:t>
      </w:r>
      <w:r>
        <w:rPr>
          <w:rFonts w:hint="eastAsia" w:ascii="仿宋_GB2312" w:hAnsi="宋体" w:eastAsia="仿宋_GB2312" w:cs="仿宋_GB2312"/>
          <w:b w:val="0"/>
          <w:kern w:val="0"/>
          <w:sz w:val="32"/>
          <w:szCs w:val="32"/>
          <w:highlight w:val="none"/>
          <w:lang w:val="en-US" w:eastAsia="zh-CN" w:bidi="ar"/>
        </w:rPr>
        <w:t>在职人员调资增资，以及发放2019年绩效奖励、</w:t>
      </w:r>
      <w:r>
        <w:rPr>
          <w:rFonts w:hint="eastAsia" w:ascii="仿宋_GB2312" w:eastAsia="仿宋_GB2312" w:cs="仿宋_GB2312"/>
          <w:kern w:val="0"/>
          <w:sz w:val="32"/>
          <w:szCs w:val="32"/>
          <w:highlight w:val="none"/>
          <w:lang w:eastAsia="zh-CN"/>
        </w:rPr>
        <w:t>办公费、差旅费、工会经费增加</w:t>
      </w:r>
      <w:r>
        <w:rPr>
          <w:rFonts w:hint="eastAsia" w:ascii="仿宋_GB2312" w:hAnsi="宋体" w:eastAsia="仿宋_GB2312" w:cs="仿宋_GB2312"/>
          <w:b w:val="0"/>
          <w:kern w:val="0"/>
          <w:sz w:val="32"/>
          <w:szCs w:val="32"/>
          <w:highlight w:val="none"/>
          <w:lang w:val="en-US" w:eastAsia="zh-CN" w:bidi="ar"/>
        </w:rPr>
        <w:t>等</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（款）一般行政管理事务（项）。年初预算为</w:t>
      </w:r>
      <w:r>
        <w:rPr>
          <w:rFonts w:hint="eastAsia" w:ascii="仿宋_GB2312" w:eastAsia="仿宋_GB2312" w:cs="仿宋_GB2312"/>
          <w:bCs/>
          <w:kern w:val="0"/>
          <w:sz w:val="32"/>
          <w:szCs w:val="32"/>
          <w:highlight w:val="none"/>
          <w:lang w:val="en-US" w:eastAsia="zh-CN"/>
        </w:rPr>
        <w:t>958.36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980.59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eastAsia="zh-CN"/>
        </w:rPr>
        <w:t>1</w:t>
      </w:r>
      <w:r>
        <w:rPr>
          <w:rFonts w:hint="eastAsia" w:ascii="仿宋_GB2312" w:eastAsia="仿宋_GB2312" w:cs="仿宋_GB2312"/>
          <w:bCs/>
          <w:kern w:val="0"/>
          <w:sz w:val="32"/>
          <w:szCs w:val="32"/>
          <w:highlight w:val="none"/>
          <w:lang w:val="en-US" w:eastAsia="zh-CN"/>
        </w:rPr>
        <w:t>02.32</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预算数的主要原因是</w:t>
      </w:r>
      <w:r>
        <w:rPr>
          <w:rFonts w:hint="eastAsia" w:ascii="仿宋_GB2312" w:eastAsia="仿宋_GB2312" w:cs="仿宋_GB2312"/>
          <w:bCs/>
          <w:kern w:val="0"/>
          <w:sz w:val="32"/>
          <w:szCs w:val="32"/>
          <w:highlight w:val="none"/>
          <w:lang w:eastAsia="zh-CN"/>
        </w:rPr>
        <w:t>：柳州市人民检察院增加中央政法转移支付办案费和中央政法转移业务装备费</w:t>
      </w:r>
      <w:r>
        <w:rPr>
          <w:rFonts w:hint="eastAsia" w:ascii="仿宋_GB2312" w:eastAsia="仿宋_GB2312" w:cs="仿宋_GB2312"/>
          <w:bCs/>
          <w:kern w:val="0"/>
          <w:sz w:val="32"/>
          <w:szCs w:val="32"/>
          <w:highlight w:val="none"/>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检察监督</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498.61</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的主要原因是：柳州市人民检察院、鹿寨地区人民检察院、露塘地区人民检察院增加中央政法转移支付办案费和中央政法转移业务装备费</w:t>
      </w:r>
      <w:r>
        <w:rPr>
          <w:rFonts w:hint="eastAsia" w:ascii="仿宋_GB2312" w:eastAsia="仿宋_GB2312" w:cs="仿宋_GB2312"/>
          <w:bCs/>
          <w:kern w:val="0"/>
          <w:sz w:val="32"/>
          <w:szCs w:val="32"/>
          <w:highlight w:val="none"/>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检察</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其它检察支出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229.17</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1333.59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581.92</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的主要原因是：柳州市人民检察院、鹿寨地区人民检察院、露塘地区人民检察院中央政法转移支付办案费上年结余款，以及本年追加涉案返还款</w:t>
      </w:r>
      <w:r>
        <w:rPr>
          <w:rFonts w:hint="eastAsia" w:ascii="仿宋_GB2312" w:eastAsia="仿宋_GB2312" w:cs="仿宋_GB2312"/>
          <w:bCs/>
          <w:kern w:val="0"/>
          <w:sz w:val="32"/>
          <w:szCs w:val="32"/>
          <w:highlight w:val="none"/>
          <w:lang w:val="en-US" w:eastAsia="zh-CN"/>
        </w:rPr>
        <w:t>420万元。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val="en-US" w:eastAsia="zh-CN"/>
        </w:rPr>
        <w:t>5.</w:t>
      </w:r>
      <w:r>
        <w:rPr>
          <w:rFonts w:hint="eastAsia" w:ascii="仿宋_GB2312" w:eastAsia="仿宋_GB2312" w:cs="仿宋_GB2312"/>
          <w:bCs/>
          <w:kern w:val="0"/>
          <w:sz w:val="32"/>
          <w:szCs w:val="32"/>
          <w:highlight w:val="none"/>
          <w:lang w:eastAsia="zh-CN"/>
        </w:rPr>
        <w:t>公共安全</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法院</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行政运行</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14.52</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的主要原因为：下达2019年9-12月司法改革绩效考核奖励经费。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w:t>
      </w:r>
      <w:r>
        <w:rPr>
          <w:rFonts w:hint="eastAsia" w:ascii="仿宋_GB2312" w:eastAsia="仿宋_GB2312" w:cs="仿宋_GB2312"/>
          <w:bCs/>
          <w:kern w:val="0"/>
          <w:sz w:val="32"/>
          <w:szCs w:val="32"/>
          <w:highlight w:val="none"/>
          <w:lang w:eastAsia="zh-CN"/>
        </w:rPr>
        <w:t>社会保障和就业支出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行政事业单位离退休</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归口管理的行政单位离退休</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123.31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213.29</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172.97</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的主要原因为：增加离退休生活补助、离退休增资、抚恤金</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lang w:eastAsia="zh-CN"/>
        </w:rPr>
        <w:t>社会保障和就业支出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行政事业单位离退休</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机关事业单位基本养老保险缴费支出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531.65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413.72</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77.81</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的主要原因为：单位基本养老保险缴费基数下调</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lang w:eastAsia="zh-CN"/>
        </w:rPr>
        <w:t>卫生健康支出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行政事业单位医疗</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行政单位医疗</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199.37</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177</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88.78</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的主要原因为：在职人员减少</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lang w:eastAsia="zh-CN"/>
        </w:rPr>
        <w:t>医疗卫生与计划生育支出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行政事业单位医疗</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公务员医疗补助</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174.96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260.80</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的主要原因为：增加公务员医疗补助</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10.</w:t>
      </w:r>
      <w:r>
        <w:rPr>
          <w:rFonts w:hint="eastAsia" w:ascii="仿宋_GB2312" w:eastAsia="仿宋_GB2312" w:cs="仿宋_GB2312"/>
          <w:bCs/>
          <w:kern w:val="0"/>
          <w:sz w:val="32"/>
          <w:szCs w:val="32"/>
          <w:highlight w:val="none"/>
          <w:lang w:eastAsia="zh-CN"/>
        </w:rPr>
        <w:t>住房保障支出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住房改革支出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住房公积金</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highlight w:val="none"/>
          <w:lang w:val="en-US" w:eastAsia="zh-CN"/>
        </w:rPr>
        <w:t>318.99</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359.51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112.70</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的主要原因为：增加公积金</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11.</w:t>
      </w:r>
      <w:r>
        <w:rPr>
          <w:rFonts w:hint="eastAsia" w:ascii="仿宋_GB2312" w:eastAsia="仿宋_GB2312" w:cs="仿宋_GB2312"/>
          <w:bCs/>
          <w:kern w:val="0"/>
          <w:sz w:val="32"/>
          <w:szCs w:val="32"/>
          <w:highlight w:val="none"/>
          <w:lang w:eastAsia="zh-CN"/>
        </w:rPr>
        <w:t>住房保障支出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住房改革支出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购房补贴</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8.87</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的主要原因为：财政下发购房补贴</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12.</w:t>
      </w:r>
      <w:r>
        <w:rPr>
          <w:rFonts w:hint="eastAsia" w:ascii="仿宋_GB2312" w:eastAsia="仿宋_GB2312" w:cs="仿宋_GB2312"/>
          <w:bCs/>
          <w:kern w:val="0"/>
          <w:sz w:val="32"/>
          <w:szCs w:val="32"/>
          <w:highlight w:val="none"/>
          <w:lang w:eastAsia="zh-CN"/>
        </w:rPr>
        <w:t>其他支出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其他支出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其他支出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60</w:t>
      </w:r>
      <w:r>
        <w:rPr>
          <w:rFonts w:hint="eastAsia" w:ascii="仿宋_GB2312" w:eastAsia="仿宋_GB2312" w:cs="仿宋_GB2312"/>
          <w:bCs/>
          <w:kern w:val="0"/>
          <w:sz w:val="32"/>
          <w:szCs w:val="32"/>
          <w:highlight w:val="none"/>
        </w:rPr>
        <w:t>万元。决算数</w:t>
      </w:r>
      <w:r>
        <w:rPr>
          <w:rFonts w:hint="eastAsia" w:ascii="仿宋_GB2312" w:eastAsia="仿宋_GB2312" w:cs="仿宋_GB2312"/>
          <w:bCs/>
          <w:kern w:val="0"/>
          <w:sz w:val="32"/>
          <w:szCs w:val="32"/>
          <w:highlight w:val="none"/>
          <w:lang w:eastAsia="zh-CN"/>
        </w:rPr>
        <w:t>大于</w:t>
      </w:r>
      <w:r>
        <w:rPr>
          <w:rFonts w:hint="eastAsia" w:ascii="仿宋_GB2312" w:eastAsia="仿宋_GB2312" w:cs="仿宋_GB2312"/>
          <w:bCs/>
          <w:kern w:val="0"/>
          <w:sz w:val="32"/>
          <w:szCs w:val="32"/>
          <w:highlight w:val="none"/>
        </w:rPr>
        <w:t>预算数</w:t>
      </w:r>
      <w:r>
        <w:rPr>
          <w:rFonts w:hint="eastAsia" w:ascii="仿宋_GB2312" w:eastAsia="仿宋_GB2312" w:cs="仿宋_GB2312"/>
          <w:bCs/>
          <w:kern w:val="0"/>
          <w:sz w:val="32"/>
          <w:szCs w:val="32"/>
          <w:highlight w:val="none"/>
          <w:lang w:eastAsia="zh-CN"/>
        </w:rPr>
        <w:t>的主要原因为：柳州市人民检察院综合楼大修前期费用</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5099.06</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4495.38</w:t>
      </w:r>
      <w:r>
        <w:rPr>
          <w:rFonts w:hint="eastAsia" w:ascii="仿宋_GB2312" w:eastAsia="仿宋_GB2312" w:cs="仿宋_GB2312"/>
          <w:b w:val="0"/>
          <w:bCs/>
          <w:kern w:val="0"/>
          <w:sz w:val="32"/>
          <w:szCs w:val="32"/>
        </w:rPr>
        <w:t>万元，主要包括：基本工资、津贴补贴、 奖金、伙食补助费、绩效工资、机关事业单位基本养老保险缴费、</w:t>
      </w:r>
      <w:r>
        <w:rPr>
          <w:rFonts w:hint="eastAsia" w:ascii="仿宋_GB2312" w:eastAsia="仿宋_GB2312" w:cs="仿宋_GB2312"/>
          <w:b w:val="0"/>
          <w:bCs/>
          <w:kern w:val="0"/>
          <w:sz w:val="32"/>
          <w:szCs w:val="32"/>
          <w:lang w:eastAsia="zh-CN"/>
        </w:rPr>
        <w:t>职工基本医疗保险缴费、</w:t>
      </w:r>
      <w:r>
        <w:rPr>
          <w:rFonts w:hint="eastAsia" w:ascii="仿宋_GB2312" w:eastAsia="仿宋_GB2312" w:cs="仿宋_GB2312"/>
          <w:b w:val="0"/>
          <w:bCs/>
          <w:kern w:val="0"/>
          <w:sz w:val="32"/>
          <w:szCs w:val="32"/>
        </w:rPr>
        <w:t>其他社会保障缴费、其他工资福利支出、 离休费、退休费、抚恤金、生活补助、奖励金、住房公积金；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603.68</w:t>
      </w:r>
      <w:r>
        <w:rPr>
          <w:rFonts w:hint="eastAsia" w:ascii="仿宋_GB2312" w:eastAsia="仿宋_GB2312" w:cs="仿宋_GB2312"/>
          <w:b w:val="0"/>
          <w:bCs/>
          <w:kern w:val="0"/>
          <w:sz w:val="32"/>
          <w:szCs w:val="32"/>
        </w:rPr>
        <w:t>万元，主要 包括：办公费、印刷费、手续费、水费、电费、邮电费、物业管理费、差旅费、维修（护）费、租赁费、会议费、培训费、公务接待费、专用材 料费、劳务费、工会经费、福利费、公务用车运行维护费、其他交通费用、税金及附加费用、其他商品和服务支出</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116.56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113.13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97.06</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53.20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98.63</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10.61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96.19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29.75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35.68</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1.21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63.02</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38.37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60.48</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0.78</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6.84</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val="en-US" w:eastAsia="zh-CN"/>
        </w:rPr>
        <w:t>2019年度实际安排的出国出访工作较少</w:t>
      </w:r>
      <w:r>
        <w:rPr>
          <w:rFonts w:hint="eastAsia" w:ascii="仿宋_GB2312" w:eastAsia="仿宋_GB2312" w:cs="仿宋_GB2312"/>
          <w:bCs/>
          <w:kern w:val="0"/>
          <w:sz w:val="32"/>
          <w:szCs w:val="32"/>
          <w:lang w:eastAsia="zh-CN"/>
        </w:rPr>
        <w:t>；公</w:t>
      </w:r>
      <w:r>
        <w:rPr>
          <w:rFonts w:hint="eastAsia" w:ascii="仿宋_GB2312" w:eastAsia="仿宋_GB2312" w:cs="仿宋_GB2312"/>
          <w:bCs/>
          <w:kern w:val="0"/>
          <w:sz w:val="32"/>
          <w:szCs w:val="32"/>
        </w:rPr>
        <w:t>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2019年度柳州市人民检察院购置公务用车3辆</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我院严格按照上级要求厉行节约，压缩公务接待开支</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0.63</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101.81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89.99</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10.61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9.38</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人次。开支内容包括：</w:t>
      </w:r>
      <w:r>
        <w:rPr>
          <w:rFonts w:hint="eastAsia" w:ascii="仿宋_GB2312" w:eastAsia="仿宋_GB2312" w:cs="仿宋_GB2312"/>
          <w:bCs/>
          <w:kern w:val="0"/>
          <w:sz w:val="32"/>
          <w:szCs w:val="32"/>
          <w:lang w:eastAsia="zh-CN"/>
        </w:rPr>
        <w:t>受邀参加外事学习考察</w:t>
      </w:r>
      <w:r>
        <w:rPr>
          <w:rFonts w:hint="eastAsia" w:ascii="仿宋_GB2312" w:hAnsi="宋体" w:eastAsia="仿宋_GB2312" w:cs="仿宋_GB2312"/>
          <w:b w:val="0"/>
          <w:color w:val="000000"/>
          <w:kern w:val="0"/>
          <w:sz w:val="32"/>
          <w:szCs w:val="32"/>
          <w:lang w:val="en-US" w:eastAsia="zh-CN" w:bidi="ar"/>
        </w:rPr>
        <w:t>的交通费和食宿</w:t>
      </w:r>
      <w:r>
        <w:rPr>
          <w:rFonts w:hint="eastAsia" w:ascii="仿宋_GB2312" w:hAnsi="宋体" w:eastAsia="仿宋_GB2312" w:cs="仿宋_GB2312"/>
          <w:b w:val="0"/>
          <w:kern w:val="0"/>
          <w:sz w:val="32"/>
          <w:szCs w:val="32"/>
          <w:lang w:val="en-US" w:eastAsia="zh-CN" w:bidi="ar"/>
        </w:rPr>
        <w:t>费等</w:t>
      </w:r>
      <w:r>
        <w:rPr>
          <w:rFonts w:hint="eastAsia" w:ascii="仿宋_GB2312" w:eastAsia="仿宋_GB2312" w:cs="仿宋_GB2312"/>
          <w:bCs/>
          <w:kern w:val="0"/>
          <w:sz w:val="32"/>
          <w:szCs w:val="32"/>
          <w:lang w:val="en-US" w:eastAsia="zh-CN"/>
        </w:rPr>
        <w:t>0.71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101.81</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53.20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48.61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购置检察业务用车</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lang w:eastAsia="zh-CN"/>
        </w:rPr>
        <w:t>辆，以及</w:t>
      </w:r>
      <w:r>
        <w:rPr>
          <w:rFonts w:hint="eastAsia" w:ascii="仿宋_GB2312" w:hAnsi="宋体" w:eastAsia="仿宋_GB2312" w:cs="仿宋_GB2312"/>
          <w:b w:val="0"/>
          <w:kern w:val="0"/>
          <w:sz w:val="32"/>
          <w:szCs w:val="32"/>
          <w:lang w:val="en-US" w:eastAsia="zh-CN" w:bidi="ar"/>
        </w:rPr>
        <w:t>机要文件交换、市内因公出行以及开展办案业务所需车辆燃料费、维修费、过路过桥费、保险费等</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10.61</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0.45</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检察院</w:t>
      </w:r>
      <w:r>
        <w:rPr>
          <w:rFonts w:hint="eastAsia" w:ascii="仿宋_GB2312" w:eastAsia="仿宋_GB2312" w:cs="仿宋_GB2312"/>
          <w:bCs/>
          <w:kern w:val="0"/>
          <w:sz w:val="32"/>
          <w:szCs w:val="32"/>
        </w:rPr>
        <w:t>开展</w:t>
      </w:r>
      <w:r>
        <w:rPr>
          <w:rFonts w:hint="eastAsia" w:ascii="仿宋_GB2312" w:eastAsia="仿宋_GB2312" w:cs="仿宋_GB2312"/>
          <w:bCs/>
          <w:kern w:val="0"/>
          <w:sz w:val="32"/>
          <w:szCs w:val="32"/>
          <w:lang w:eastAsia="zh-CN"/>
        </w:rPr>
        <w:t>检察业务</w:t>
      </w:r>
      <w:r>
        <w:rPr>
          <w:rFonts w:hint="eastAsia" w:ascii="仿宋_GB2312" w:eastAsia="仿宋_GB2312" w:cs="仿宋_GB2312"/>
          <w:bCs/>
          <w:kern w:val="0"/>
          <w:sz w:val="32"/>
          <w:szCs w:val="32"/>
        </w:rPr>
        <w:t>工作发生的外宾接待支出。</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10.16</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接待上级部门及各级单位对我院开展的执行公务、检察指导、考察调研等公务活动</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96</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854</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年度政府基金预算财政拨款收</w:t>
      </w:r>
      <w:r>
        <w:rPr>
          <w:rFonts w:hint="eastAsia" w:ascii="仿宋_GB2312" w:eastAsia="仿宋_GB2312" w:cs="仿宋_GB2312"/>
          <w:bCs/>
          <w:kern w:val="0"/>
          <w:sz w:val="32"/>
          <w:szCs w:val="32"/>
          <w:lang w:eastAsia="zh-CN"/>
        </w:rPr>
        <w:t>入总决算</w:t>
      </w:r>
      <w:r>
        <w:rPr>
          <w:rFonts w:hint="eastAsia" w:ascii="仿宋_GB2312" w:eastAsia="仿宋_GB2312" w:cs="仿宋_GB2312"/>
          <w:bCs/>
          <w:kern w:val="0"/>
          <w:sz w:val="32"/>
          <w:szCs w:val="32"/>
          <w:lang w:val="en-US" w:eastAsia="zh-CN"/>
        </w:rPr>
        <w:t>200万元</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 xml:space="preserve">总决算 </w:t>
      </w:r>
      <w:r>
        <w:rPr>
          <w:rFonts w:hint="eastAsia" w:ascii="仿宋_GB2312" w:eastAsia="仿宋_GB2312" w:cs="仿宋_GB2312"/>
          <w:bCs/>
          <w:kern w:val="0"/>
          <w:sz w:val="32"/>
          <w:szCs w:val="32"/>
          <w:lang w:val="en-US" w:eastAsia="zh-CN"/>
        </w:rPr>
        <w:t>200</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年相比，收、支总计各增加</w:t>
      </w:r>
      <w:r>
        <w:rPr>
          <w:rFonts w:hint="eastAsia" w:ascii="仿宋_GB2312" w:eastAsia="仿宋_GB2312" w:cs="仿宋_GB2312"/>
          <w:bCs/>
          <w:kern w:val="0"/>
          <w:sz w:val="32"/>
          <w:szCs w:val="32"/>
          <w:lang w:val="en-US" w:eastAsia="zh-CN"/>
        </w:rPr>
        <w:t>200</w:t>
      </w:r>
      <w:r>
        <w:rPr>
          <w:rFonts w:hint="eastAsia" w:ascii="仿宋_GB2312" w:eastAsia="仿宋_GB2312" w:cs="仿宋_GB2312"/>
          <w:bCs/>
          <w:kern w:val="0"/>
          <w:sz w:val="32"/>
          <w:szCs w:val="32"/>
        </w:rPr>
        <w:t>万元。其中，支出情况为：</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200</w:t>
      </w:r>
      <w:r>
        <w:rPr>
          <w:rFonts w:hint="eastAsia" w:ascii="仿宋_GB2312" w:eastAsia="仿宋_GB2312" w:cs="仿宋_GB2312"/>
          <w:bCs/>
          <w:kern w:val="0"/>
          <w:sz w:val="32"/>
          <w:szCs w:val="32"/>
        </w:rPr>
        <w:t>万元，决算大于预算数主要原因：年中追加安排财政拨款支出预算，涉及项目有</w:t>
      </w:r>
      <w:r>
        <w:rPr>
          <w:rFonts w:hint="eastAsia" w:ascii="仿宋_GB2312" w:eastAsia="仿宋_GB2312" w:cs="仿宋_GB2312"/>
          <w:bCs/>
          <w:kern w:val="0"/>
          <w:sz w:val="32"/>
          <w:szCs w:val="32"/>
          <w:lang w:eastAsia="zh-CN"/>
        </w:rPr>
        <w:t>电子检务工程项目</w:t>
      </w:r>
      <w:r>
        <w:rPr>
          <w:rFonts w:hint="eastAsia" w:ascii="仿宋_GB2312" w:eastAsia="仿宋_GB2312" w:cs="仿宋_GB2312"/>
          <w:bCs/>
          <w:kern w:val="0"/>
          <w:sz w:val="32"/>
          <w:szCs w:val="32"/>
        </w:rPr>
        <w:t>；其中：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1.城乡社区支出（类）国有土地使用权出让收入及对应专项债务收入安排的支出（款）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200</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年中追加我院电子检务工程项目款。</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1"/>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根据财政预算管理要求，我</w:t>
      </w:r>
      <w:r>
        <w:rPr>
          <w:rFonts w:hint="eastAsia" w:ascii="仿宋_GB2312" w:eastAsia="仿宋_GB2312" w:cs="仿宋_GB2312"/>
          <w:bCs/>
          <w:kern w:val="0"/>
          <w:sz w:val="32"/>
          <w:szCs w:val="32"/>
          <w:lang w:eastAsia="zh-CN"/>
        </w:rPr>
        <w:t>院</w:t>
      </w:r>
      <w:r>
        <w:rPr>
          <w:rFonts w:hint="eastAsia" w:ascii="仿宋_GB2312" w:eastAsia="仿宋_GB2312" w:cs="仿宋_GB2312"/>
          <w:bCs/>
          <w:kern w:val="0"/>
          <w:sz w:val="32"/>
          <w:szCs w:val="32"/>
        </w:rPr>
        <w:t>组织对</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年度一般公共预算项目支出全面开展绩效自评。其中，一级项目</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8167.37</w:t>
      </w:r>
      <w:r>
        <w:rPr>
          <w:rFonts w:hint="eastAsia" w:ascii="仿宋_GB2312" w:eastAsia="仿宋_GB2312" w:cs="仿宋_GB2312"/>
          <w:bCs/>
          <w:kern w:val="0"/>
          <w:sz w:val="32"/>
          <w:szCs w:val="32"/>
        </w:rPr>
        <w:t xml:space="preserve">万元，自评覆盖率达到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numPr>
          <w:ilvl w:val="0"/>
          <w:numId w:val="1"/>
        </w:numPr>
        <w:autoSpaceDE w:val="0"/>
        <w:autoSpaceDN w:val="0"/>
        <w:adjustRightInd w:val="0"/>
        <w:ind w:left="0" w:leftChars="0"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spacing w:line="560" w:lineRule="exact"/>
        <w:ind w:firstLine="627" w:firstLineChars="196"/>
        <w:rPr>
          <w:rFonts w:hint="default" w:eastAsia="仿宋_GB2312"/>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eastAsia="仿宋_GB2312"/>
          <w:sz w:val="32"/>
          <w:szCs w:val="32"/>
          <w:lang w:val="en-US" w:eastAsia="zh-CN"/>
        </w:rPr>
        <w:t>201</w:t>
      </w:r>
      <w:r>
        <w:rPr>
          <w:rFonts w:hint="eastAsia"/>
          <w:sz w:val="32"/>
          <w:szCs w:val="32"/>
          <w:lang w:val="en-US" w:eastAsia="zh-CN"/>
        </w:rPr>
        <w:t>9</w:t>
      </w:r>
      <w:r>
        <w:rPr>
          <w:rFonts w:hint="eastAsia" w:eastAsia="仿宋_GB2312"/>
          <w:sz w:val="32"/>
          <w:szCs w:val="32"/>
          <w:lang w:val="en-US" w:eastAsia="zh-CN"/>
        </w:rPr>
        <w:t>年度，柳州市人民检察院紧紧围绕党和国家的工作大局，认真履行检察职责，很好的完成了当年工作任务。预算部门</w:t>
      </w:r>
      <w:r>
        <w:rPr>
          <w:rFonts w:ascii="仿宋_GB2312" w:hAnsi="仿宋_GB2312" w:eastAsia="仿宋_GB2312"/>
          <w:bCs/>
          <w:sz w:val="32"/>
        </w:rPr>
        <w:t>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w:t>
      </w:r>
      <w:r>
        <w:rPr>
          <w:rFonts w:hint="eastAsia" w:ascii="仿宋_GB2312" w:hAnsi="仿宋_GB2312" w:eastAsia="仿宋_GB2312"/>
          <w:bCs/>
          <w:sz w:val="32"/>
        </w:rPr>
        <w:t>。</w:t>
      </w:r>
      <w:r>
        <w:rPr>
          <w:rFonts w:hint="eastAsia" w:ascii="仿宋_GB2312" w:hAnsi="仿宋_GB2312" w:eastAsia="仿宋_GB2312"/>
          <w:bCs/>
          <w:sz w:val="32"/>
          <w:lang w:eastAsia="zh-CN"/>
        </w:rPr>
        <w:t>超额完成各项绩效指标，</w:t>
      </w:r>
      <w:r>
        <w:rPr>
          <w:rFonts w:hint="eastAsia" w:eastAsia="仿宋_GB2312"/>
          <w:sz w:val="32"/>
          <w:szCs w:val="32"/>
          <w:lang w:val="en-US" w:eastAsia="zh-CN"/>
        </w:rPr>
        <w:t>根据我院部门预算绩效项目开展情况及时收集整理的材料，我院绩效自评合计得分</w:t>
      </w:r>
      <w:r>
        <w:rPr>
          <w:rFonts w:hint="eastAsia"/>
          <w:sz w:val="32"/>
          <w:szCs w:val="32"/>
          <w:lang w:val="en-US" w:eastAsia="zh-CN"/>
        </w:rPr>
        <w:t>95.233</w:t>
      </w:r>
      <w:r>
        <w:rPr>
          <w:rFonts w:hint="eastAsia" w:eastAsia="仿宋_GB2312"/>
          <w:sz w:val="32"/>
          <w:szCs w:val="32"/>
          <w:lang w:val="en-US" w:eastAsia="zh-CN"/>
        </w:rPr>
        <w:t>分，其中：绩效目标执行情况得分</w:t>
      </w:r>
      <w:r>
        <w:rPr>
          <w:rFonts w:hint="eastAsia"/>
          <w:sz w:val="32"/>
          <w:szCs w:val="32"/>
          <w:lang w:val="en-US" w:eastAsia="zh-CN"/>
        </w:rPr>
        <w:t>99.19分，绩效目标评分86分。</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603.68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83.29</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16.01</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eastAsia="zh-CN"/>
        </w:rPr>
        <w:t>长</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为办公费、水费、电费、维修维护费、其他交通费用较上年有所增加</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1014.42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627.76</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231.66</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155</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18</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18</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15</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（本年度内购置车辆</w:t>
      </w:r>
      <w:r>
        <w:rPr>
          <w:rFonts w:hint="eastAsia" w:ascii="仿宋_GB2312" w:eastAsia="仿宋_GB2312" w:cs="仿宋_GB2312"/>
          <w:kern w:val="0"/>
          <w:sz w:val="32"/>
          <w:szCs w:val="32"/>
          <w:lang w:val="en-US" w:eastAsia="zh-CN"/>
        </w:rPr>
        <w:t>2辆）</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其他</w:t>
      </w:r>
      <w:r>
        <w:rPr>
          <w:rFonts w:hint="eastAsia" w:ascii="仿宋_GB2312" w:eastAsia="仿宋_GB2312" w:cs="仿宋_GB2312"/>
          <w:kern w:val="0"/>
          <w:sz w:val="32"/>
          <w:szCs w:val="32"/>
        </w:rPr>
        <w:t>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9DB07E-3F07-4C2B-A87F-BA1F6E6FAA04}"/>
  </w:font>
  <w:font w:name="黑体">
    <w:panose1 w:val="02010609060101010101"/>
    <w:charset w:val="86"/>
    <w:family w:val="auto"/>
    <w:pitch w:val="default"/>
    <w:sig w:usb0="800002BF" w:usb1="38CF7CFA" w:usb2="00000016" w:usb3="00000000" w:csb0="00040001" w:csb1="00000000"/>
    <w:embedRegular r:id="rId2" w:fontKey="{BD461706-A309-4CBB-A566-EC20374856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9D49073D-4FAA-4F4E-96CB-D1CFE0A53C9F}"/>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D213F668-3C04-4B3A-B3BC-DD9BA1E435E0}"/>
  </w:font>
  <w:font w:name="MingLiU">
    <w:altName w:val="PMingLiU-ExtB"/>
    <w:panose1 w:val="02020509000000000000"/>
    <w:charset w:val="88"/>
    <w:family w:val="modern"/>
    <w:pitch w:val="default"/>
    <w:sig w:usb0="00000000" w:usb1="00000000" w:usb2="00000016" w:usb3="00000000" w:csb0="00100001" w:csb1="00000000"/>
    <w:embedRegular r:id="rId5" w:fontKey="{99869F90-A3CA-4FBD-8759-147FC0CFC5A5}"/>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- 16 -</w:t>
    </w:r>
    <w:r>
      <w:rPr>
        <w:sz w:val="30"/>
        <w:szCs w:val="30"/>
      </w:rPr>
      <w:fldChar w:fldCharType="end"/>
    </w:r>
  </w:p>
  <w:p>
    <w:pPr>
      <w:pStyle w:val="3"/>
      <w:bidi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D75BCE"/>
    <w:rsid w:val="013F2A7F"/>
    <w:rsid w:val="01460D70"/>
    <w:rsid w:val="01FD04A4"/>
    <w:rsid w:val="040567FF"/>
    <w:rsid w:val="05723844"/>
    <w:rsid w:val="071516E2"/>
    <w:rsid w:val="099B0D9C"/>
    <w:rsid w:val="0A635F0C"/>
    <w:rsid w:val="0B255A93"/>
    <w:rsid w:val="0BEA5DAF"/>
    <w:rsid w:val="153747A6"/>
    <w:rsid w:val="17A52B84"/>
    <w:rsid w:val="1CED10D9"/>
    <w:rsid w:val="1E6A7C3D"/>
    <w:rsid w:val="1F244955"/>
    <w:rsid w:val="203C742D"/>
    <w:rsid w:val="20E67948"/>
    <w:rsid w:val="21056F3E"/>
    <w:rsid w:val="230E2690"/>
    <w:rsid w:val="23E30D58"/>
    <w:rsid w:val="25361123"/>
    <w:rsid w:val="25960C5D"/>
    <w:rsid w:val="26460DBA"/>
    <w:rsid w:val="289B4B63"/>
    <w:rsid w:val="2901407D"/>
    <w:rsid w:val="2A49604B"/>
    <w:rsid w:val="2C4219FE"/>
    <w:rsid w:val="2CF4475B"/>
    <w:rsid w:val="307A6DDA"/>
    <w:rsid w:val="317E038F"/>
    <w:rsid w:val="320D62CF"/>
    <w:rsid w:val="343909BA"/>
    <w:rsid w:val="39A63F06"/>
    <w:rsid w:val="3BE174A2"/>
    <w:rsid w:val="3C647CBB"/>
    <w:rsid w:val="3CC20062"/>
    <w:rsid w:val="3ED1439F"/>
    <w:rsid w:val="40155F94"/>
    <w:rsid w:val="43AD5EC0"/>
    <w:rsid w:val="44041A0F"/>
    <w:rsid w:val="44BF768C"/>
    <w:rsid w:val="48B96070"/>
    <w:rsid w:val="4A8845CD"/>
    <w:rsid w:val="4B5C04CE"/>
    <w:rsid w:val="4B9236E1"/>
    <w:rsid w:val="4C256E3D"/>
    <w:rsid w:val="4CB52F0F"/>
    <w:rsid w:val="4D4173F4"/>
    <w:rsid w:val="4E1375E2"/>
    <w:rsid w:val="4FA24260"/>
    <w:rsid w:val="532F1F9A"/>
    <w:rsid w:val="53B2344E"/>
    <w:rsid w:val="53BE1E01"/>
    <w:rsid w:val="549B7BB1"/>
    <w:rsid w:val="56E632B1"/>
    <w:rsid w:val="57D6015F"/>
    <w:rsid w:val="59CE2DBD"/>
    <w:rsid w:val="5A0D51DA"/>
    <w:rsid w:val="5A2C2207"/>
    <w:rsid w:val="5A8B230B"/>
    <w:rsid w:val="5B036759"/>
    <w:rsid w:val="5B8A5613"/>
    <w:rsid w:val="5C230A81"/>
    <w:rsid w:val="601E0430"/>
    <w:rsid w:val="62163194"/>
    <w:rsid w:val="622558AC"/>
    <w:rsid w:val="663926F1"/>
    <w:rsid w:val="675367F1"/>
    <w:rsid w:val="67DD232F"/>
    <w:rsid w:val="69191CB2"/>
    <w:rsid w:val="69225F17"/>
    <w:rsid w:val="6C95335A"/>
    <w:rsid w:val="6D260C7F"/>
    <w:rsid w:val="6E841BDA"/>
    <w:rsid w:val="717D423B"/>
    <w:rsid w:val="72686CE4"/>
    <w:rsid w:val="75DE569C"/>
    <w:rsid w:val="75E01FC1"/>
    <w:rsid w:val="7627574B"/>
    <w:rsid w:val="768F4917"/>
    <w:rsid w:val="76906EA6"/>
    <w:rsid w:val="7A664D7E"/>
    <w:rsid w:val="7F1C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dcterms:modified xsi:type="dcterms:W3CDTF">2023-11-22T02:01:03Z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89DC45D438D0444BA904259B638BEE08</vt:lpwstr>
  </property>
</Properties>
</file>