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32"/>
          <w:szCs w:val="32"/>
        </w:rPr>
      </w:pPr>
      <w:r>
        <w:rPr>
          <w:rFonts w:hint="eastAsia"/>
          <w:sz w:val="32"/>
          <w:szCs w:val="32"/>
        </w:rPr>
        <w:t>浦发银行柳州分行政府采购应收账款线上融资信贷产品</w:t>
      </w:r>
    </w:p>
    <w:p>
      <w:pPr>
        <w:jc w:val="center"/>
        <w:rPr>
          <w:sz w:val="32"/>
          <w:szCs w:val="32"/>
        </w:rPr>
      </w:pPr>
      <w:r>
        <w:rPr>
          <w:rFonts w:hint="eastAsia"/>
          <w:sz w:val="32"/>
          <w:szCs w:val="32"/>
        </w:rPr>
        <w:t>——“政采贷”简介</w:t>
      </w:r>
    </w:p>
    <w:p>
      <w:pPr>
        <w:ind w:firstLine="640" w:firstLineChars="200"/>
        <w:rPr>
          <w:rFonts w:ascii="仿宋" w:hAnsi="仿宋" w:eastAsia="仿宋"/>
          <w:sz w:val="32"/>
          <w:szCs w:val="32"/>
        </w:rPr>
      </w:pPr>
      <w:r>
        <w:rPr>
          <w:rFonts w:hint="eastAsia" w:ascii="仿宋" w:hAnsi="仿宋" w:eastAsia="仿宋"/>
          <w:sz w:val="32"/>
          <w:szCs w:val="32"/>
        </w:rPr>
        <w:t>我行推出的“政采贷”业务依托柳州市人民银行和财政局牵头的中征应收账款融资服务平台，根据政府订单向政府采购类市场中标客户发放订单融资贷款。我行总行研发“供应链金融电子平台”已于2020年上线，该平台与中征网后台数据对接，实现“政采贷”业务全线上融资，将有效缩短业务流程，大幅度提升客户融资服务体验。</w:t>
      </w:r>
    </w:p>
    <w:p>
      <w:pPr>
        <w:ind w:firstLine="643" w:firstLineChars="200"/>
        <w:rPr>
          <w:rFonts w:ascii="仿宋" w:hAnsi="仿宋" w:eastAsia="仿宋"/>
          <w:sz w:val="32"/>
          <w:szCs w:val="32"/>
        </w:rPr>
      </w:pPr>
      <w:r>
        <w:rPr>
          <w:rFonts w:hint="eastAsia" w:ascii="仿宋" w:hAnsi="仿宋" w:eastAsia="仿宋"/>
          <w:b/>
          <w:sz w:val="32"/>
          <w:szCs w:val="32"/>
        </w:rPr>
        <w:t>产品名称：</w:t>
      </w:r>
      <w:r>
        <w:rPr>
          <w:rFonts w:hint="eastAsia" w:ascii="仿宋" w:hAnsi="仿宋" w:eastAsia="仿宋"/>
          <w:sz w:val="32"/>
          <w:szCs w:val="32"/>
        </w:rPr>
        <w:t>浦发银行“政采贷”</w:t>
      </w:r>
    </w:p>
    <w:p>
      <w:pPr>
        <w:ind w:firstLine="643" w:firstLineChars="200"/>
        <w:rPr>
          <w:rFonts w:hint="eastAsia" w:ascii="仿宋" w:hAnsi="仿宋" w:eastAsia="仿宋"/>
          <w:sz w:val="32"/>
          <w:szCs w:val="32"/>
        </w:rPr>
      </w:pPr>
      <w:r>
        <w:rPr>
          <w:rFonts w:hint="eastAsia" w:ascii="仿宋" w:hAnsi="仿宋" w:eastAsia="仿宋"/>
          <w:b/>
          <w:sz w:val="32"/>
          <w:szCs w:val="32"/>
        </w:rPr>
        <w:t>申请条件：</w:t>
      </w:r>
      <w:r>
        <w:rPr>
          <w:rFonts w:hint="eastAsia" w:ascii="仿宋" w:hAnsi="仿宋" w:eastAsia="仿宋"/>
          <w:sz w:val="32"/>
          <w:szCs w:val="32"/>
        </w:rPr>
        <w:t>柳州市政府采购项目中标企业</w:t>
      </w:r>
    </w:p>
    <w:p>
      <w:pPr>
        <w:ind w:firstLine="643" w:firstLineChars="200"/>
        <w:rPr>
          <w:rFonts w:hint="eastAsia" w:ascii="仿宋" w:hAnsi="仿宋" w:eastAsia="仿宋"/>
          <w:sz w:val="32"/>
          <w:szCs w:val="32"/>
        </w:rPr>
      </w:pPr>
      <w:r>
        <w:rPr>
          <w:rFonts w:hint="eastAsia" w:ascii="仿宋" w:hAnsi="仿宋" w:eastAsia="仿宋"/>
          <w:b/>
          <w:sz w:val="32"/>
          <w:szCs w:val="32"/>
        </w:rPr>
        <w:t>业务办理流程：</w:t>
      </w:r>
      <w:r>
        <w:rPr>
          <w:rFonts w:hint="eastAsia" w:ascii="仿宋" w:hAnsi="仿宋" w:eastAsia="仿宋"/>
          <w:sz w:val="32"/>
          <w:szCs w:val="32"/>
        </w:rPr>
        <w:t>客户提交贷款申请材料、经营机构调查、报送、授信审查、审批、跟客户签署业务合同、放款。</w:t>
      </w:r>
    </w:p>
    <w:p>
      <w:pPr>
        <w:ind w:firstLine="643" w:firstLineChars="200"/>
        <w:rPr>
          <w:rFonts w:hint="eastAsia" w:ascii="仿宋" w:hAnsi="仿宋" w:eastAsia="仿宋"/>
          <w:sz w:val="32"/>
          <w:szCs w:val="32"/>
        </w:rPr>
      </w:pPr>
      <w:r>
        <w:rPr>
          <w:rFonts w:hint="eastAsia" w:ascii="仿宋" w:hAnsi="仿宋" w:eastAsia="仿宋"/>
          <w:b/>
          <w:sz w:val="32"/>
          <w:szCs w:val="32"/>
        </w:rPr>
        <w:t>融资利率：</w:t>
      </w:r>
      <w:r>
        <w:rPr>
          <w:rFonts w:hint="eastAsia" w:ascii="仿宋" w:hAnsi="仿宋" w:eastAsia="仿宋"/>
          <w:sz w:val="32"/>
          <w:szCs w:val="32"/>
        </w:rPr>
        <w:t>随行就市</w:t>
      </w:r>
    </w:p>
    <w:p>
      <w:pPr>
        <w:ind w:firstLine="643" w:firstLineChars="200"/>
        <w:rPr>
          <w:rFonts w:hint="eastAsia" w:ascii="仿宋" w:hAnsi="仿宋" w:eastAsia="仿宋"/>
          <w:sz w:val="32"/>
          <w:szCs w:val="32"/>
        </w:rPr>
      </w:pPr>
      <w:r>
        <w:rPr>
          <w:rFonts w:hint="eastAsia" w:ascii="仿宋" w:hAnsi="仿宋" w:eastAsia="仿宋"/>
          <w:b/>
          <w:sz w:val="32"/>
          <w:szCs w:val="32"/>
        </w:rPr>
        <w:t>融资期限：</w:t>
      </w:r>
      <w:r>
        <w:rPr>
          <w:rFonts w:hint="eastAsia" w:ascii="仿宋" w:hAnsi="仿宋" w:eastAsia="仿宋"/>
          <w:sz w:val="32"/>
          <w:szCs w:val="32"/>
        </w:rPr>
        <w:t>授信有效期最长不超过1年；单笔融资期限根据合同约定的最迟交货期、工期、政采部门实际正常回款周期及其内部审批流程、历史回款记录等因素合理厘定，原则上不超过半年，最长不超过1年。</w:t>
      </w:r>
    </w:p>
    <w:p>
      <w:pPr>
        <w:ind w:firstLine="643" w:firstLineChars="200"/>
        <w:rPr>
          <w:rFonts w:hint="eastAsia" w:ascii="仿宋" w:hAnsi="仿宋" w:eastAsia="仿宋"/>
          <w:b/>
          <w:sz w:val="32"/>
          <w:szCs w:val="32"/>
        </w:rPr>
      </w:pPr>
      <w:r>
        <w:rPr>
          <w:rFonts w:hint="eastAsia" w:ascii="仿宋" w:hAnsi="仿宋" w:eastAsia="仿宋"/>
          <w:b/>
          <w:sz w:val="32"/>
          <w:szCs w:val="32"/>
        </w:rPr>
        <w:t>准入条件：</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公司注册地在广西区内（含各类分公司）的政府采购供应商，暂不接受异地供应商申请办理业务；</w:t>
      </w:r>
    </w:p>
    <w:p>
      <w:pPr>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具有独立承担民事责任的能力，有固定的经营场所，依法合规、经营正常，具有政采部门认可的专业化、批量化生产和供货能力；</w:t>
      </w:r>
    </w:p>
    <w:p>
      <w:pPr>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满足政府采购的资质要求，具有良好的纳税记录、工商登记记录；</w:t>
      </w:r>
    </w:p>
    <w:p>
      <w:pPr>
        <w:ind w:firstLine="640" w:firstLineChars="200"/>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w:t>
      </w:r>
      <w:r>
        <w:rPr>
          <w:rFonts w:hint="eastAsia" w:ascii="仿宋" w:hAnsi="仿宋" w:eastAsia="仿宋"/>
          <w:sz w:val="32"/>
          <w:szCs w:val="32"/>
        </w:rPr>
        <w:t>工程模式项下，供应商须成立两年（含）以上，或实际控制人有三年以上实</w:t>
      </w:r>
      <w:bookmarkStart w:id="0" w:name="_GoBack"/>
      <w:bookmarkEnd w:id="0"/>
      <w:r>
        <w:rPr>
          <w:rFonts w:hint="eastAsia" w:ascii="仿宋" w:hAnsi="仿宋" w:eastAsia="仿宋"/>
          <w:sz w:val="32"/>
          <w:szCs w:val="32"/>
        </w:rPr>
        <w:t>际行业经验，并严格限制为政府采购工程合同的乙方，即承包人；</w:t>
      </w:r>
    </w:p>
    <w:p>
      <w:pPr>
        <w:ind w:firstLine="640" w:firstLineChars="200"/>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val="en-US" w:eastAsia="zh-CN"/>
        </w:rPr>
        <w:t>.</w:t>
      </w:r>
      <w:r>
        <w:rPr>
          <w:rFonts w:hint="eastAsia" w:ascii="仿宋" w:hAnsi="仿宋" w:eastAsia="仿宋"/>
          <w:sz w:val="32"/>
          <w:szCs w:val="32"/>
        </w:rPr>
        <w:t>有过政府采购项目中标经历，线下模式项下，还包括首次中标供应商；</w:t>
      </w:r>
    </w:p>
    <w:p>
      <w:pPr>
        <w:ind w:firstLine="640" w:firstLineChars="200"/>
        <w:rPr>
          <w:rFonts w:hint="eastAsia"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lang w:val="en-US" w:eastAsia="zh-CN"/>
        </w:rPr>
        <w:t>.</w:t>
      </w:r>
      <w:r>
        <w:rPr>
          <w:rFonts w:hint="eastAsia" w:ascii="仿宋" w:hAnsi="仿宋" w:eastAsia="仿宋"/>
          <w:sz w:val="32"/>
          <w:szCs w:val="32"/>
        </w:rPr>
        <w:t>企业法人、法定代表人、主要经营者在</w:t>
      </w:r>
      <w:r>
        <w:rPr>
          <w:rFonts w:hint="eastAsia" w:ascii="仿宋" w:hAnsi="仿宋" w:eastAsia="仿宋"/>
          <w:sz w:val="32"/>
          <w:szCs w:val="32"/>
          <w:lang w:eastAsia="zh-CN"/>
        </w:rPr>
        <w:t>人民银行金融信用信息基础数据库</w:t>
      </w:r>
      <w:r>
        <w:rPr>
          <w:rFonts w:hint="eastAsia" w:ascii="仿宋" w:hAnsi="仿宋" w:eastAsia="仿宋"/>
          <w:sz w:val="32"/>
          <w:szCs w:val="32"/>
        </w:rPr>
        <w:t>中无重大不良记录；</w:t>
      </w:r>
    </w:p>
    <w:p>
      <w:pPr>
        <w:ind w:firstLine="640" w:firstLineChars="200"/>
        <w:rPr>
          <w:rFonts w:hint="eastAsia"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val="en-US" w:eastAsia="zh-CN"/>
        </w:rPr>
        <w:t>.</w:t>
      </w:r>
      <w:r>
        <w:rPr>
          <w:rFonts w:hint="eastAsia" w:ascii="仿宋" w:hAnsi="仿宋" w:eastAsia="仿宋"/>
          <w:sz w:val="32"/>
          <w:szCs w:val="32"/>
        </w:rPr>
        <w:t>在银行的融资无逾期、欠息或垫款情况，对外担保无不良或代偿风险，且无其他不良信用记录；</w:t>
      </w:r>
    </w:p>
    <w:p>
      <w:pPr>
        <w:ind w:firstLine="640" w:firstLineChars="200"/>
        <w:rPr>
          <w:rFonts w:hint="eastAsia" w:ascii="仿宋" w:hAnsi="仿宋" w:eastAsia="仿宋"/>
          <w:sz w:val="32"/>
          <w:szCs w:val="32"/>
        </w:rPr>
      </w:pPr>
      <w:r>
        <w:rPr>
          <w:rFonts w:hint="eastAsia" w:ascii="仿宋" w:hAnsi="仿宋" w:eastAsia="仿宋"/>
          <w:sz w:val="32"/>
          <w:szCs w:val="32"/>
        </w:rPr>
        <w:t>8</w:t>
      </w:r>
      <w:r>
        <w:rPr>
          <w:rFonts w:hint="eastAsia" w:ascii="仿宋" w:hAnsi="仿宋" w:eastAsia="仿宋"/>
          <w:sz w:val="32"/>
          <w:szCs w:val="32"/>
          <w:lang w:val="en-US" w:eastAsia="zh-CN"/>
        </w:rPr>
        <w:t>.</w:t>
      </w:r>
      <w:r>
        <w:rPr>
          <w:rFonts w:hint="eastAsia" w:ascii="仿宋" w:hAnsi="仿宋" w:eastAsia="仿宋"/>
          <w:sz w:val="32"/>
          <w:szCs w:val="32"/>
        </w:rPr>
        <w:t>交货、履约等纪录良好，未发生因产品质量或未按期交付货物等因素引发的商业纠纷，未被列入政府采购供应商黑名单；</w:t>
      </w:r>
    </w:p>
    <w:p>
      <w:pPr>
        <w:ind w:firstLine="640" w:firstLineChars="200"/>
        <w:rPr>
          <w:rFonts w:hint="eastAsia" w:ascii="仿宋" w:hAnsi="仿宋" w:eastAsia="仿宋"/>
          <w:sz w:val="32"/>
          <w:szCs w:val="32"/>
        </w:rPr>
      </w:pPr>
      <w:r>
        <w:rPr>
          <w:rFonts w:hint="eastAsia" w:ascii="仿宋" w:hAnsi="仿宋" w:eastAsia="仿宋"/>
          <w:sz w:val="32"/>
          <w:szCs w:val="32"/>
        </w:rPr>
        <w:t>9</w:t>
      </w:r>
      <w:r>
        <w:rPr>
          <w:rFonts w:hint="eastAsia" w:ascii="仿宋" w:hAnsi="仿宋" w:eastAsia="仿宋"/>
          <w:sz w:val="32"/>
          <w:szCs w:val="32"/>
          <w:lang w:val="en-US" w:eastAsia="zh-CN"/>
        </w:rPr>
        <w:t>.</w:t>
      </w:r>
      <w:r>
        <w:rPr>
          <w:rFonts w:hint="eastAsia" w:ascii="仿宋" w:hAnsi="仿宋" w:eastAsia="仿宋"/>
          <w:sz w:val="32"/>
          <w:szCs w:val="32"/>
        </w:rPr>
        <w:t>已在我行开立一般存款账户及专用存款账户（即政采专户），供应商与政采部门签订的政府采购合同中注明或已变更收款账户为该公司在浦发银行开立的政采专户；</w:t>
      </w:r>
    </w:p>
    <w:p>
      <w:pPr>
        <w:ind w:firstLine="640" w:firstLineChars="200"/>
        <w:rPr>
          <w:rFonts w:ascii="仿宋" w:hAnsi="仿宋" w:eastAsia="仿宋"/>
          <w:sz w:val="32"/>
          <w:szCs w:val="32"/>
        </w:rPr>
      </w:pPr>
      <w:r>
        <w:rPr>
          <w:rFonts w:hint="eastAsia" w:ascii="仿宋" w:hAnsi="仿宋" w:eastAsia="仿宋"/>
          <w:sz w:val="32"/>
          <w:szCs w:val="32"/>
        </w:rPr>
        <w:t>10</w:t>
      </w:r>
      <w:r>
        <w:rPr>
          <w:rFonts w:hint="eastAsia" w:ascii="仿宋" w:hAnsi="仿宋" w:eastAsia="仿宋"/>
          <w:sz w:val="32"/>
          <w:szCs w:val="32"/>
          <w:lang w:val="en-US" w:eastAsia="zh-CN"/>
        </w:rPr>
        <w:t>.</w:t>
      </w:r>
      <w:r>
        <w:rPr>
          <w:rFonts w:hint="eastAsia" w:ascii="仿宋" w:hAnsi="仿宋" w:eastAsia="仿宋"/>
          <w:sz w:val="32"/>
          <w:szCs w:val="32"/>
        </w:rPr>
        <w:t>供应商应满足我行订单融资业务管理办法设定的其他基本准入要求。</w:t>
      </w:r>
    </w:p>
    <w:p>
      <w:pPr>
        <w:rPr>
          <w:rFonts w:hint="eastAsia" w:ascii="仿宋" w:hAnsi="仿宋" w:eastAsia="仿宋"/>
          <w:sz w:val="32"/>
          <w:szCs w:val="32"/>
          <w:lang w:val="en-US" w:eastAsia="zh-CN"/>
        </w:rPr>
      </w:pPr>
    </w:p>
    <w:p>
      <w:pPr>
        <w:ind w:firstLine="640" w:firstLineChars="200"/>
        <w:rPr>
          <w:rFonts w:ascii="仿宋" w:hAnsi="仿宋" w:eastAsia="仿宋"/>
          <w:sz w:val="32"/>
          <w:szCs w:val="32"/>
        </w:rPr>
      </w:pPr>
      <w:r>
        <w:rPr>
          <w:rFonts w:hint="eastAsia" w:ascii="仿宋" w:hAnsi="仿宋" w:eastAsia="仿宋"/>
          <w:sz w:val="32"/>
          <w:szCs w:val="32"/>
        </w:rPr>
        <w:t>浦发银行柳州分行网点：柳州市晨华路9号</w:t>
      </w:r>
    </w:p>
    <w:p>
      <w:pPr>
        <w:ind w:firstLine="640" w:firstLineChars="200"/>
        <w:rPr>
          <w:rFonts w:hint="eastAsia" w:ascii="仿宋" w:hAnsi="仿宋" w:eastAsia="仿宋"/>
          <w:sz w:val="32"/>
          <w:szCs w:val="32"/>
        </w:rPr>
      </w:pPr>
      <w:r>
        <w:rPr>
          <w:rFonts w:hint="eastAsia" w:ascii="仿宋" w:hAnsi="仿宋" w:eastAsia="仿宋"/>
          <w:sz w:val="32"/>
          <w:szCs w:val="32"/>
        </w:rPr>
        <w:t>联系电话：赵总 2098108</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4403A"/>
    <w:rsid w:val="00245545"/>
    <w:rsid w:val="004F452C"/>
    <w:rsid w:val="006D6906"/>
    <w:rsid w:val="00A47385"/>
    <w:rsid w:val="00B0006C"/>
    <w:rsid w:val="00C2283F"/>
    <w:rsid w:val="00C323A7"/>
    <w:rsid w:val="00CC08A0"/>
    <w:rsid w:val="00D4403A"/>
    <w:rsid w:val="00E4648B"/>
    <w:rsid w:val="00E74690"/>
    <w:rsid w:val="42791C9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Words>
  <Characters>770</Characters>
  <Lines>6</Lines>
  <Paragraphs>1</Paragraphs>
  <TotalTime>0</TotalTime>
  <ScaleCrop>false</ScaleCrop>
  <LinksUpToDate>false</LinksUpToDate>
  <CharactersWithSpaces>0</CharactersWithSpaces>
  <Application>WPS Office 专业版_9.1.0.4797_{F1E327BC-269C-435d-A152-05C5408002CA}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2020-07-07T08:49:00Z</dcterms:created>
  <dc:creator>邓丁丁</dc:creator>
  <cp:lastModifiedBy>石志红</cp:lastModifiedBy>
  <dcterms:modified xsi:type="dcterms:W3CDTF">2020-07-14T08:46:04Z</dcterms:modified>
  <dc:title>浦发银行柳州分行政府采购应收账款线上融资信贷产品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2052-9.1.0.4797</vt:lpwstr>
  </property>
</Properties>
</file>